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11C" w:rsidRDefault="00A8611C" w:rsidP="00A8611C">
      <w:pPr>
        <w:pStyle w:val="NoSpacing"/>
        <w:rPr>
          <w:sz w:val="22"/>
          <w:szCs w:val="22"/>
          <w:lang w:val="sr-Cyrl-RS"/>
        </w:rPr>
      </w:pPr>
    </w:p>
    <w:p w:rsidR="00A8611C" w:rsidRPr="00FE5F84" w:rsidRDefault="00A8611C" w:rsidP="00A8611C">
      <w:pPr>
        <w:pStyle w:val="NoSpacing"/>
        <w:jc w:val="center"/>
        <w:rPr>
          <w:b/>
          <w:noProof/>
          <w:sz w:val="22"/>
          <w:szCs w:val="22"/>
          <w:lang w:val="sr-Latn-BA"/>
        </w:rPr>
      </w:pPr>
      <w:r>
        <w:rPr>
          <w:b/>
          <w:noProof/>
          <w:sz w:val="22"/>
          <w:szCs w:val="22"/>
          <w:lang w:val="sr-Latn-BA"/>
        </w:rPr>
        <w:t>О</w:t>
      </w:r>
      <w:r w:rsidRPr="00FE5F84">
        <w:rPr>
          <w:b/>
          <w:noProof/>
          <w:sz w:val="22"/>
          <w:szCs w:val="22"/>
          <w:lang w:val="sr-Latn-BA"/>
        </w:rPr>
        <w:t xml:space="preserve"> </w:t>
      </w:r>
      <w:r>
        <w:rPr>
          <w:b/>
          <w:noProof/>
          <w:sz w:val="22"/>
          <w:szCs w:val="22"/>
          <w:lang w:val="sr-Latn-BA"/>
        </w:rPr>
        <w:t>Б</w:t>
      </w:r>
      <w:r w:rsidRPr="00FE5F84">
        <w:rPr>
          <w:b/>
          <w:noProof/>
          <w:sz w:val="22"/>
          <w:szCs w:val="22"/>
          <w:lang w:val="sr-Latn-BA"/>
        </w:rPr>
        <w:t xml:space="preserve"> </w:t>
      </w:r>
      <w:r>
        <w:rPr>
          <w:b/>
          <w:noProof/>
          <w:sz w:val="22"/>
          <w:szCs w:val="22"/>
          <w:lang w:val="sr-Latn-BA"/>
        </w:rPr>
        <w:t>Р</w:t>
      </w:r>
      <w:r w:rsidRPr="00FE5F84">
        <w:rPr>
          <w:b/>
          <w:noProof/>
          <w:sz w:val="22"/>
          <w:szCs w:val="22"/>
          <w:lang w:val="sr-Latn-BA"/>
        </w:rPr>
        <w:t xml:space="preserve"> </w:t>
      </w:r>
      <w:r>
        <w:rPr>
          <w:b/>
          <w:noProof/>
          <w:sz w:val="22"/>
          <w:szCs w:val="22"/>
          <w:lang w:val="sr-Latn-BA"/>
        </w:rPr>
        <w:t>А</w:t>
      </w:r>
      <w:r w:rsidRPr="00FE5F84">
        <w:rPr>
          <w:b/>
          <w:noProof/>
          <w:sz w:val="22"/>
          <w:szCs w:val="22"/>
          <w:lang w:val="sr-Latn-BA"/>
        </w:rPr>
        <w:t xml:space="preserve"> </w:t>
      </w:r>
      <w:r>
        <w:rPr>
          <w:b/>
          <w:noProof/>
          <w:sz w:val="22"/>
          <w:szCs w:val="22"/>
          <w:lang w:val="sr-Latn-BA"/>
        </w:rPr>
        <w:t>З</w:t>
      </w:r>
      <w:r w:rsidRPr="00FE5F84">
        <w:rPr>
          <w:b/>
          <w:noProof/>
          <w:sz w:val="22"/>
          <w:szCs w:val="22"/>
          <w:lang w:val="sr-Latn-BA"/>
        </w:rPr>
        <w:t xml:space="preserve"> </w:t>
      </w:r>
      <w:r>
        <w:rPr>
          <w:b/>
          <w:noProof/>
          <w:sz w:val="22"/>
          <w:szCs w:val="22"/>
          <w:lang w:val="sr-Latn-BA"/>
        </w:rPr>
        <w:t>Л</w:t>
      </w:r>
      <w:r w:rsidRPr="00FE5F84">
        <w:rPr>
          <w:b/>
          <w:noProof/>
          <w:sz w:val="22"/>
          <w:szCs w:val="22"/>
          <w:lang w:val="sr-Latn-BA"/>
        </w:rPr>
        <w:t xml:space="preserve"> </w:t>
      </w:r>
      <w:r>
        <w:rPr>
          <w:b/>
          <w:noProof/>
          <w:sz w:val="22"/>
          <w:szCs w:val="22"/>
          <w:lang w:val="sr-Latn-BA"/>
        </w:rPr>
        <w:t>О</w:t>
      </w:r>
      <w:r w:rsidRPr="00FE5F84">
        <w:rPr>
          <w:b/>
          <w:noProof/>
          <w:sz w:val="22"/>
          <w:szCs w:val="22"/>
          <w:lang w:val="sr-Latn-BA"/>
        </w:rPr>
        <w:t xml:space="preserve"> </w:t>
      </w:r>
      <w:r>
        <w:rPr>
          <w:b/>
          <w:noProof/>
          <w:sz w:val="22"/>
          <w:szCs w:val="22"/>
          <w:lang w:val="sr-Latn-BA"/>
        </w:rPr>
        <w:t>Ж</w:t>
      </w:r>
      <w:r w:rsidRPr="00FE5F84">
        <w:rPr>
          <w:b/>
          <w:noProof/>
          <w:sz w:val="22"/>
          <w:szCs w:val="22"/>
          <w:lang w:val="sr-Latn-BA"/>
        </w:rPr>
        <w:t xml:space="preserve"> </w:t>
      </w:r>
      <w:r>
        <w:rPr>
          <w:b/>
          <w:noProof/>
          <w:sz w:val="22"/>
          <w:szCs w:val="22"/>
          <w:lang w:val="sr-Latn-BA"/>
        </w:rPr>
        <w:t>Е</w:t>
      </w:r>
      <w:r w:rsidRPr="00FE5F84">
        <w:rPr>
          <w:b/>
          <w:noProof/>
          <w:sz w:val="22"/>
          <w:szCs w:val="22"/>
          <w:lang w:val="sr-Latn-BA"/>
        </w:rPr>
        <w:t xml:space="preserve"> </w:t>
      </w:r>
      <w:r>
        <w:rPr>
          <w:b/>
          <w:noProof/>
          <w:sz w:val="22"/>
          <w:szCs w:val="22"/>
          <w:lang w:val="sr-Latn-BA"/>
        </w:rPr>
        <w:t>Њ</w:t>
      </w:r>
      <w:r w:rsidRPr="00FE5F84">
        <w:rPr>
          <w:b/>
          <w:noProof/>
          <w:sz w:val="22"/>
          <w:szCs w:val="22"/>
          <w:lang w:val="sr-Latn-BA"/>
        </w:rPr>
        <w:t xml:space="preserve"> </w:t>
      </w:r>
      <w:r>
        <w:rPr>
          <w:b/>
          <w:noProof/>
          <w:sz w:val="22"/>
          <w:szCs w:val="22"/>
          <w:lang w:val="sr-Latn-BA"/>
        </w:rPr>
        <w:t>Е</w:t>
      </w:r>
    </w:p>
    <w:p w:rsidR="00A8611C" w:rsidRPr="00FE5F84" w:rsidRDefault="00A8611C" w:rsidP="00A8611C">
      <w:pPr>
        <w:pStyle w:val="NoSpacing"/>
        <w:jc w:val="center"/>
        <w:rPr>
          <w:b/>
          <w:bCs/>
          <w:noProof/>
          <w:sz w:val="22"/>
          <w:szCs w:val="22"/>
          <w:lang w:val="sr-Latn-BA"/>
        </w:rPr>
      </w:pPr>
    </w:p>
    <w:p w:rsidR="00A8611C" w:rsidRPr="00FE5F84" w:rsidRDefault="00A8611C" w:rsidP="00A8611C">
      <w:pPr>
        <w:pStyle w:val="NoSpacing"/>
        <w:jc w:val="center"/>
        <w:rPr>
          <w:b/>
          <w:bCs/>
          <w:noProof/>
          <w:sz w:val="22"/>
          <w:szCs w:val="22"/>
          <w:lang w:val="sr-Latn-BA"/>
        </w:rPr>
      </w:pPr>
    </w:p>
    <w:p w:rsidR="00A8611C" w:rsidRPr="00FE5F84" w:rsidRDefault="00A8611C" w:rsidP="00A8611C">
      <w:pPr>
        <w:pStyle w:val="NoSpacing"/>
        <w:jc w:val="center"/>
        <w:rPr>
          <w:b/>
          <w:noProof/>
          <w:sz w:val="22"/>
          <w:szCs w:val="22"/>
          <w:lang w:val="sr-Latn-BA"/>
        </w:rPr>
      </w:pPr>
      <w:r>
        <w:rPr>
          <w:b/>
          <w:noProof/>
          <w:sz w:val="22"/>
          <w:szCs w:val="22"/>
          <w:lang w:val="sr-Latn-BA"/>
        </w:rPr>
        <w:t>УЗ</w:t>
      </w:r>
      <w:r w:rsidRPr="00FE5F84">
        <w:rPr>
          <w:b/>
          <w:noProof/>
          <w:sz w:val="22"/>
          <w:szCs w:val="22"/>
          <w:lang w:val="sr-Latn-BA"/>
        </w:rPr>
        <w:t xml:space="preserve"> </w:t>
      </w:r>
      <w:r>
        <w:rPr>
          <w:b/>
          <w:noProof/>
          <w:sz w:val="22"/>
          <w:szCs w:val="22"/>
          <w:lang w:val="sr-Latn-BA"/>
        </w:rPr>
        <w:t>ПРЕДНАЦРТ</w:t>
      </w:r>
      <w:r w:rsidRPr="00FE5F84">
        <w:rPr>
          <w:b/>
          <w:noProof/>
          <w:sz w:val="22"/>
          <w:szCs w:val="22"/>
          <w:lang w:val="sr-Latn-BA"/>
        </w:rPr>
        <w:t xml:space="preserve"> </w:t>
      </w:r>
    </w:p>
    <w:p w:rsidR="00A8611C" w:rsidRPr="00FE5F84" w:rsidRDefault="00A8611C" w:rsidP="00A8611C">
      <w:pPr>
        <w:pStyle w:val="NoSpacing"/>
        <w:jc w:val="center"/>
        <w:rPr>
          <w:b/>
          <w:noProof/>
          <w:sz w:val="22"/>
          <w:szCs w:val="22"/>
          <w:lang w:val="sr-Latn-BA"/>
        </w:rPr>
      </w:pPr>
    </w:p>
    <w:p w:rsidR="00A8611C" w:rsidRPr="001B3175" w:rsidRDefault="00A8611C" w:rsidP="00A8611C">
      <w:pPr>
        <w:pStyle w:val="NoSpacing"/>
        <w:jc w:val="center"/>
        <w:rPr>
          <w:b/>
          <w:noProof/>
          <w:sz w:val="22"/>
          <w:szCs w:val="22"/>
          <w:lang w:val="sr-Latn-BA"/>
        </w:rPr>
      </w:pPr>
      <w:r w:rsidRPr="001B3175">
        <w:rPr>
          <w:b/>
          <w:noProof/>
          <w:sz w:val="22"/>
          <w:szCs w:val="22"/>
          <w:lang w:val="sr-Latn-BA"/>
        </w:rPr>
        <w:t xml:space="preserve">ОДЛУКЕ О ИЗМЈЕНАМА И ДОПУНАМА ОДЛУКЕ О СПРОВОЂЕЊУ ЗАКОНА О </w:t>
      </w:r>
    </w:p>
    <w:p w:rsidR="00A8611C" w:rsidRPr="001B3175" w:rsidRDefault="00A8611C" w:rsidP="00A8611C">
      <w:pPr>
        <w:pStyle w:val="NoSpacing"/>
        <w:jc w:val="center"/>
        <w:rPr>
          <w:noProof/>
          <w:sz w:val="22"/>
          <w:szCs w:val="22"/>
          <w:lang w:val="sr-Latn-BA"/>
        </w:rPr>
      </w:pPr>
      <w:r w:rsidRPr="001B3175">
        <w:rPr>
          <w:b/>
          <w:noProof/>
          <w:sz w:val="22"/>
          <w:szCs w:val="22"/>
          <w:lang w:val="sr-Latn-BA"/>
        </w:rPr>
        <w:t>ЦАРИНСКОЈ ПОЛИТИЦИ У БОСНИ И ХЕРЦЕГОВИНИ</w:t>
      </w:r>
    </w:p>
    <w:p w:rsidR="00A8611C" w:rsidRPr="001B3175" w:rsidRDefault="00A8611C" w:rsidP="00A8611C">
      <w:pPr>
        <w:pStyle w:val="NoSpacing"/>
        <w:jc w:val="both"/>
        <w:rPr>
          <w:rFonts w:eastAsia="Calibri"/>
          <w:noProof/>
          <w:sz w:val="22"/>
          <w:szCs w:val="22"/>
          <w:lang w:val="sr-Latn-BA"/>
        </w:rPr>
      </w:pPr>
    </w:p>
    <w:p w:rsidR="00A8611C" w:rsidRPr="001B3175" w:rsidRDefault="00A8611C" w:rsidP="00A8611C">
      <w:pPr>
        <w:pStyle w:val="NoSpacing"/>
        <w:jc w:val="center"/>
        <w:rPr>
          <w:noProof/>
          <w:sz w:val="22"/>
          <w:szCs w:val="22"/>
          <w:lang w:val="sr-Latn-BA"/>
        </w:rPr>
      </w:pPr>
    </w:p>
    <w:p w:rsidR="00A8611C" w:rsidRPr="001B3175" w:rsidRDefault="00A8611C" w:rsidP="00A8611C">
      <w:pPr>
        <w:numPr>
          <w:ilvl w:val="0"/>
          <w:numId w:val="1"/>
        </w:numPr>
        <w:spacing w:after="0" w:line="240" w:lineRule="auto"/>
        <w:ind w:left="284" w:hanging="284"/>
        <w:jc w:val="both"/>
        <w:rPr>
          <w:rFonts w:ascii="Times New Roman" w:eastAsia="Times New Roman" w:hAnsi="Times New Roman"/>
          <w:b/>
          <w:noProof/>
        </w:rPr>
      </w:pPr>
      <w:r w:rsidRPr="001B3175">
        <w:rPr>
          <w:rFonts w:ascii="Times New Roman" w:eastAsia="Times New Roman" w:hAnsi="Times New Roman"/>
          <w:b/>
          <w:noProof/>
        </w:rPr>
        <w:t>Правни основ и надлежност за доношење</w:t>
      </w:r>
    </w:p>
    <w:p w:rsidR="00A8611C" w:rsidRPr="001B3175" w:rsidRDefault="00A8611C" w:rsidP="00A8611C">
      <w:pPr>
        <w:spacing w:after="0" w:line="240" w:lineRule="auto"/>
        <w:jc w:val="both"/>
        <w:rPr>
          <w:rFonts w:ascii="Times New Roman" w:eastAsia="Times New Roman" w:hAnsi="Times New Roman"/>
          <w:bCs/>
          <w:noProof/>
        </w:rPr>
      </w:pPr>
    </w:p>
    <w:p w:rsidR="00A8611C" w:rsidRPr="001B3175" w:rsidRDefault="00A8611C" w:rsidP="00A8611C">
      <w:pPr>
        <w:spacing w:after="0" w:line="240" w:lineRule="auto"/>
        <w:jc w:val="both"/>
        <w:rPr>
          <w:rFonts w:ascii="Times New Roman" w:eastAsia="Times New Roman" w:hAnsi="Times New Roman"/>
          <w:noProof/>
        </w:rPr>
      </w:pPr>
      <w:r w:rsidRPr="001B3175">
        <w:rPr>
          <w:rFonts w:ascii="Times New Roman" w:eastAsia="Times New Roman" w:hAnsi="Times New Roman"/>
          <w:noProof/>
        </w:rPr>
        <w:t>Правни основ и надлежност Савјета министара Босне и Херцеговине за доношење Одлуке</w:t>
      </w:r>
      <w:r w:rsidRPr="001B3175">
        <w:rPr>
          <w:rFonts w:ascii="Times New Roman" w:eastAsia="Times New Roman" w:hAnsi="Times New Roman"/>
          <w:bCs/>
          <w:noProof/>
        </w:rPr>
        <w:t xml:space="preserve"> </w:t>
      </w:r>
      <w:r w:rsidRPr="001B3175">
        <w:rPr>
          <w:rFonts w:ascii="Times New Roman" w:eastAsia="Times New Roman" w:hAnsi="Times New Roman"/>
          <w:noProof/>
        </w:rPr>
        <w:t>о измјенама и допунама Одлуке о спровођењу Закона о царинској политици у Босни и Херцеговини</w:t>
      </w:r>
      <w:r w:rsidRPr="001B3175">
        <w:rPr>
          <w:rFonts w:ascii="Times New Roman" w:eastAsia="Times New Roman" w:hAnsi="Times New Roman"/>
          <w:b/>
          <w:noProof/>
        </w:rPr>
        <w:t xml:space="preserve"> </w:t>
      </w:r>
      <w:r w:rsidRPr="001B3175">
        <w:rPr>
          <w:rFonts w:ascii="Times New Roman" w:eastAsia="Times New Roman" w:hAnsi="Times New Roman"/>
          <w:noProof/>
        </w:rPr>
        <w:t>произилази из члана 276. став (1) Закона о царинској политици у Босни и Херцеговини</w:t>
      </w:r>
      <w:r w:rsidRPr="001B3175">
        <w:rPr>
          <w:rFonts w:ascii="Times New Roman" w:eastAsia="MS Mincho" w:hAnsi="Times New Roman"/>
          <w:noProof/>
          <w:lang w:eastAsia="fr-FR"/>
        </w:rPr>
        <w:t xml:space="preserve"> (''Службени гласник БиХ'', број</w:t>
      </w:r>
      <w:r w:rsidRPr="001B3175">
        <w:rPr>
          <w:rFonts w:ascii="Times New Roman" w:eastAsia="Times New Roman" w:hAnsi="Times New Roman"/>
          <w:noProof/>
        </w:rPr>
        <w:t xml:space="preserve"> 58/15). </w:t>
      </w:r>
    </w:p>
    <w:p w:rsidR="00A8611C" w:rsidRPr="001B3175" w:rsidRDefault="00A8611C" w:rsidP="00A8611C">
      <w:pPr>
        <w:spacing w:after="0" w:line="240" w:lineRule="auto"/>
        <w:jc w:val="both"/>
        <w:rPr>
          <w:rFonts w:ascii="Times New Roman" w:eastAsia="Times New Roman" w:hAnsi="Times New Roman"/>
          <w:noProof/>
        </w:rPr>
      </w:pPr>
    </w:p>
    <w:p w:rsidR="00A8611C" w:rsidRPr="001B3175" w:rsidRDefault="00A8611C" w:rsidP="00A8611C">
      <w:pPr>
        <w:spacing w:after="0" w:line="240" w:lineRule="auto"/>
        <w:jc w:val="both"/>
        <w:rPr>
          <w:rFonts w:ascii="Times New Roman" w:eastAsia="Times New Roman" w:hAnsi="Times New Roman"/>
          <w:noProof/>
        </w:rPr>
      </w:pPr>
      <w:r w:rsidRPr="001B3175">
        <w:rPr>
          <w:rFonts w:ascii="Times New Roman" w:eastAsia="Times New Roman" w:hAnsi="Times New Roman"/>
          <w:noProof/>
        </w:rPr>
        <w:t>Такође, правни основ садржан је и у члану 17. Закона о Савјету министара Босне и Херцеговине (''Службени гласник БиХ'',</w:t>
      </w:r>
      <w:r w:rsidRPr="001B3175">
        <w:rPr>
          <w:rFonts w:ascii="Times New Roman" w:eastAsia="Times New Roman" w:hAnsi="Times New Roman"/>
          <w:bCs/>
          <w:noProof/>
        </w:rPr>
        <w:t xml:space="preserve"> бр. 30/03, 42/03, 81/06, 76/07, 81/07, 94/07 и 24/08)</w:t>
      </w:r>
      <w:r w:rsidRPr="001B3175">
        <w:rPr>
          <w:rFonts w:ascii="Times New Roman" w:eastAsia="Times New Roman" w:hAnsi="Times New Roman"/>
          <w:noProof/>
        </w:rPr>
        <w:t>, према којем Савјет министара Босне и Херцеговине у остваривању својих права и дужности доноси одлуке и друга акта.</w:t>
      </w:r>
    </w:p>
    <w:p w:rsidR="00A8611C" w:rsidRPr="001B3175" w:rsidRDefault="00A8611C" w:rsidP="00A8611C">
      <w:pPr>
        <w:spacing w:after="0" w:line="240" w:lineRule="auto"/>
        <w:jc w:val="both"/>
        <w:rPr>
          <w:rFonts w:ascii="Times New Roman" w:eastAsia="Times New Roman" w:hAnsi="Times New Roman"/>
          <w:noProof/>
        </w:rPr>
      </w:pPr>
    </w:p>
    <w:p w:rsidR="00A8611C" w:rsidRPr="001B3175" w:rsidRDefault="00A8611C" w:rsidP="00A8611C">
      <w:pPr>
        <w:numPr>
          <w:ilvl w:val="0"/>
          <w:numId w:val="1"/>
        </w:numPr>
        <w:spacing w:after="0" w:line="240" w:lineRule="auto"/>
        <w:ind w:left="284" w:hanging="284"/>
        <w:jc w:val="both"/>
        <w:rPr>
          <w:rFonts w:ascii="Times New Roman" w:eastAsia="Times New Roman" w:hAnsi="Times New Roman"/>
          <w:b/>
          <w:noProof/>
        </w:rPr>
      </w:pPr>
      <w:r w:rsidRPr="001B3175">
        <w:rPr>
          <w:rFonts w:ascii="Times New Roman" w:eastAsia="Times New Roman" w:hAnsi="Times New Roman"/>
          <w:b/>
          <w:noProof/>
        </w:rPr>
        <w:t>Разлози за доношење Одлуке и усклађеност са европским законодавством</w:t>
      </w:r>
    </w:p>
    <w:p w:rsidR="00A8611C" w:rsidRPr="001B3175" w:rsidRDefault="00A8611C" w:rsidP="00A8611C">
      <w:pPr>
        <w:spacing w:after="0" w:line="240" w:lineRule="auto"/>
        <w:jc w:val="both"/>
        <w:rPr>
          <w:rFonts w:ascii="Times New Roman" w:eastAsia="Times New Roman" w:hAnsi="Times New Roman"/>
          <w:noProof/>
        </w:rPr>
      </w:pPr>
    </w:p>
    <w:p w:rsidR="00A8611C" w:rsidRPr="001B3175" w:rsidRDefault="00A8611C" w:rsidP="00A8611C">
      <w:pPr>
        <w:spacing w:after="0" w:line="240" w:lineRule="auto"/>
        <w:jc w:val="both"/>
        <w:rPr>
          <w:rFonts w:ascii="Times New Roman" w:hAnsi="Times New Roman"/>
          <w:noProof/>
          <w:lang w:eastAsia="sr-Latn-RS"/>
        </w:rPr>
      </w:pPr>
      <w:r w:rsidRPr="001B3175">
        <w:rPr>
          <w:rFonts w:ascii="Times New Roman" w:hAnsi="Times New Roman"/>
          <w:noProof/>
        </w:rPr>
        <w:t>Савјет министара Босне и Херцеговине, на 160. сједници одржаној 03. децембра 2018. године, донио је Одлуку о спровођењу Закона о царинској политици у Босни и Херцеговини ("Службени гласник БиХ", бр.</w:t>
      </w:r>
      <w:r w:rsidRPr="001B3175">
        <w:rPr>
          <w:rFonts w:ascii="Times New Roman" w:hAnsi="Times New Roman"/>
          <w:noProof/>
          <w:lang w:eastAsia="sr-Latn-RS"/>
        </w:rPr>
        <w:t xml:space="preserve"> 13/19, 54/19, 21/20, 47/21, 49/21, 4/22, 23/22 и 6/23,</w:t>
      </w:r>
      <w:r w:rsidRPr="001B3175">
        <w:rPr>
          <w:rFonts w:ascii="Times New Roman" w:hAnsi="Times New Roman"/>
          <w:bCs/>
          <w:noProof/>
          <w:lang w:eastAsia="sr-Latn-RS"/>
        </w:rPr>
        <w:t xml:space="preserve"> у даљем тексу ''Одлука''</w:t>
      </w:r>
      <w:r w:rsidRPr="001B3175">
        <w:rPr>
          <w:rFonts w:ascii="Times New Roman" w:hAnsi="Times New Roman"/>
          <w:noProof/>
        </w:rPr>
        <w:t xml:space="preserve">). Нови царински прописи, </w:t>
      </w:r>
      <w:r w:rsidRPr="001B3175">
        <w:rPr>
          <w:rFonts w:ascii="Times New Roman" w:hAnsi="Times New Roman"/>
          <w:noProof/>
          <w:lang w:eastAsia="sr-Latn-RS"/>
        </w:rPr>
        <w:t>Закон о царинској политици у Босни и Херцеговини, ''Службени гласник БиХ'', број 58/15 и н</w:t>
      </w:r>
      <w:r w:rsidRPr="001B3175">
        <w:rPr>
          <w:rFonts w:ascii="Times New Roman" w:hAnsi="Times New Roman"/>
          <w:noProof/>
          <w:lang w:val="sr-Cyrl-BA" w:eastAsia="sr-Latn-RS"/>
        </w:rPr>
        <w:t>а</w:t>
      </w:r>
      <w:r w:rsidRPr="001B3175">
        <w:rPr>
          <w:rFonts w:ascii="Times New Roman" w:hAnsi="Times New Roman"/>
          <w:noProof/>
          <w:lang w:eastAsia="sr-Latn-RS"/>
        </w:rPr>
        <w:t>ведена проведбена Одлука, почели су да се примјењују дана 01.08.2022. године у БиХ</w:t>
      </w:r>
      <w:r w:rsidRPr="001B3175">
        <w:rPr>
          <w:noProof/>
          <w:lang w:eastAsia="sr-Latn-RS"/>
        </w:rPr>
        <w:t>,</w:t>
      </w:r>
      <w:r w:rsidRPr="001B3175">
        <w:rPr>
          <w:noProof/>
          <w:lang w:val="sr-Cyrl-BA" w:eastAsia="sr-Latn-RS"/>
        </w:rPr>
        <w:t xml:space="preserve"> </w:t>
      </w:r>
      <w:r w:rsidRPr="001B3175">
        <w:rPr>
          <w:rFonts w:ascii="Times New Roman" w:hAnsi="Times New Roman"/>
          <w:noProof/>
          <w:lang w:val="sr-Cyrl-BA" w:eastAsia="sr-Latn-RS"/>
        </w:rPr>
        <w:t>као и н</w:t>
      </w:r>
      <w:r w:rsidRPr="001B3175">
        <w:rPr>
          <w:rFonts w:ascii="Times New Roman" w:hAnsi="Times New Roman"/>
          <w:noProof/>
          <w:lang w:eastAsia="sr-Latn-RS"/>
        </w:rPr>
        <w:t xml:space="preserve">ови компјутеризовани провозни (транзитни) систем (NCTS), у ком се провозна царинска декларација подноси електронским путем. NCTS се од овог датума примјењује само у царинском подручју БиХ (на националном нивоу), без могућности примјене изван тог подручја, а што ће бити омогућено након што БиХ постане пуноправна земља уговорница Конвенције о заједничком провозном поступку (CTC Конвенција) и Конвенције о поједностављењу формалности у трговини робом (SAD Конвенција). </w:t>
      </w:r>
    </w:p>
    <w:p w:rsidR="00A8611C" w:rsidRPr="001B3175" w:rsidRDefault="00A8611C" w:rsidP="00A8611C">
      <w:pPr>
        <w:spacing w:after="0" w:line="240" w:lineRule="auto"/>
        <w:jc w:val="both"/>
        <w:rPr>
          <w:rFonts w:ascii="Times New Roman" w:hAnsi="Times New Roman"/>
          <w:noProof/>
          <w:lang w:eastAsia="sr-Latn-RS"/>
        </w:rPr>
      </w:pPr>
    </w:p>
    <w:p w:rsidR="00A8611C" w:rsidRPr="001B3175" w:rsidRDefault="00A8611C" w:rsidP="00A8611C">
      <w:pPr>
        <w:pStyle w:val="NoSpacing"/>
        <w:jc w:val="both"/>
        <w:rPr>
          <w:noProof/>
          <w:sz w:val="22"/>
          <w:szCs w:val="22"/>
          <w:lang w:val="sr-Latn-BA"/>
        </w:rPr>
      </w:pPr>
      <w:r w:rsidRPr="001B3175">
        <w:rPr>
          <w:noProof/>
          <w:sz w:val="22"/>
          <w:szCs w:val="22"/>
          <w:lang w:val="sr-Latn-BA"/>
        </w:rPr>
        <w:t xml:space="preserve">Примјена NCTS-а на националном нивоу у периоду од најмање годину дана и континуитет у развоју и одржавању NCTS апликације, уз усклађено царинско законодавство у дијелу поступка провоза са ЕУ правном стечевином у овој области, услови су за приступање БиХ овим конвенцијама. Босна и Херцеговина ће бити позвана да приступи овим конвенцијама тек када Европска комисија оцјени да су испуњени сви потребни услови, да би земља постала дио електронског трансевропског провозног система, који омогућава бржи проток робе преко граница, смањење и унапређење царинских формалности. </w:t>
      </w:r>
    </w:p>
    <w:p w:rsidR="00A8611C" w:rsidRPr="001B3175" w:rsidRDefault="00A8611C" w:rsidP="00A8611C">
      <w:pPr>
        <w:pStyle w:val="NoSpacing"/>
        <w:jc w:val="both"/>
        <w:rPr>
          <w:noProof/>
          <w:lang w:val="sr-Latn-BA"/>
        </w:rPr>
      </w:pPr>
    </w:p>
    <w:p w:rsidR="00A8611C" w:rsidRPr="00C77B55" w:rsidRDefault="00A8611C" w:rsidP="00A8611C">
      <w:pPr>
        <w:spacing w:after="0" w:line="240" w:lineRule="auto"/>
        <w:jc w:val="both"/>
        <w:rPr>
          <w:rFonts w:ascii="Times New Roman" w:hAnsi="Times New Roman"/>
          <w:noProof/>
          <w:lang w:eastAsia="sr-Latn-RS"/>
        </w:rPr>
      </w:pPr>
      <w:r w:rsidRPr="001B3175">
        <w:rPr>
          <w:rFonts w:ascii="Times New Roman" w:hAnsi="Times New Roman"/>
          <w:noProof/>
          <w:lang w:eastAsia="sr-Latn-RS"/>
        </w:rPr>
        <w:t xml:space="preserve">Од момента почетка примјене NCTS-а на националном нивоу у БиХ до данас, због немогућности одржавања континуитета у техничком дијелу, у погледу развоја и одржавања NCTS апликације, није било могуће наставити </w:t>
      </w:r>
      <w:bookmarkStart w:id="0" w:name="_GoBack"/>
      <w:r w:rsidRPr="00C77B55">
        <w:rPr>
          <w:rFonts w:ascii="Times New Roman" w:hAnsi="Times New Roman"/>
          <w:noProof/>
          <w:lang w:eastAsia="sr-Latn-RS"/>
        </w:rPr>
        <w:t>приступне активности док се не успостави континуитет у наведеном. Стога, а им</w:t>
      </w:r>
      <w:r w:rsidR="00F45239" w:rsidRPr="00C77B55">
        <w:rPr>
          <w:rFonts w:ascii="Times New Roman" w:hAnsi="Times New Roman"/>
          <w:noProof/>
          <w:lang w:eastAsia="sr-Latn-RS"/>
        </w:rPr>
        <w:t xml:space="preserve">ајући у виду да су обезбијеђена </w:t>
      </w:r>
      <w:r w:rsidR="00F45239" w:rsidRPr="00C77B55">
        <w:rPr>
          <w:rFonts w:ascii="Times New Roman" w:hAnsi="Times New Roman"/>
          <w:noProof/>
          <w:lang w:val="sr-Cyrl-RS" w:eastAsia="sr-Latn-RS"/>
        </w:rPr>
        <w:t xml:space="preserve">одређена </w:t>
      </w:r>
      <w:r w:rsidRPr="00C77B55">
        <w:rPr>
          <w:rFonts w:ascii="Times New Roman" w:hAnsi="Times New Roman"/>
          <w:noProof/>
          <w:lang w:eastAsia="sr-Latn-RS"/>
        </w:rPr>
        <w:t>финансијска средства</w:t>
      </w:r>
      <w:r w:rsidR="00F45239" w:rsidRPr="00C77B55">
        <w:rPr>
          <w:rFonts w:ascii="Times New Roman" w:hAnsi="Times New Roman"/>
          <w:noProof/>
          <w:lang w:val="sr-Cyrl-RS" w:eastAsia="sr-Latn-RS"/>
        </w:rPr>
        <w:t xml:space="preserve"> у 2024. години</w:t>
      </w:r>
      <w:r w:rsidRPr="00C77B55">
        <w:rPr>
          <w:rFonts w:ascii="Times New Roman" w:hAnsi="Times New Roman"/>
          <w:noProof/>
          <w:lang w:eastAsia="sr-Latn-RS"/>
        </w:rPr>
        <w:t xml:space="preserve"> да би се процес могао наставити, треба предузети све активности како би се ускладиле св</w:t>
      </w:r>
      <w:r w:rsidR="00F45239" w:rsidRPr="00C77B55">
        <w:rPr>
          <w:rFonts w:ascii="Times New Roman" w:hAnsi="Times New Roman"/>
          <w:noProof/>
          <w:lang w:eastAsia="sr-Latn-RS"/>
        </w:rPr>
        <w:t xml:space="preserve">е промјене у закодавству </w:t>
      </w:r>
      <w:r w:rsidR="00F45239" w:rsidRPr="00C77B55">
        <w:rPr>
          <w:rFonts w:ascii="Times New Roman" w:hAnsi="Times New Roman"/>
          <w:noProof/>
          <w:lang w:val="sr-Cyrl-RS" w:eastAsia="sr-Latn-RS"/>
        </w:rPr>
        <w:t>БиХ са ЕУ законодавством</w:t>
      </w:r>
      <w:r w:rsidRPr="00C77B55">
        <w:rPr>
          <w:rFonts w:ascii="Times New Roman" w:hAnsi="Times New Roman"/>
          <w:noProof/>
          <w:lang w:eastAsia="sr-Latn-RS"/>
        </w:rPr>
        <w:t xml:space="preserve"> као и техничке промјене у информатичкој апликацији ЕУ NCTS, које су се у међувремену десиле</w:t>
      </w:r>
      <w:r w:rsidR="00F45239" w:rsidRPr="00C77B55">
        <w:rPr>
          <w:rFonts w:ascii="Times New Roman" w:hAnsi="Times New Roman"/>
          <w:noProof/>
          <w:lang w:val="sr-Cyrl-RS" w:eastAsia="sr-Latn-RS"/>
        </w:rPr>
        <w:t xml:space="preserve"> у 2025. години (потреба развоја</w:t>
      </w:r>
      <w:r w:rsidR="00F45239" w:rsidRPr="00C77B55">
        <w:rPr>
          <w:rFonts w:ascii="Times New Roman" w:hAnsi="Times New Roman"/>
          <w:noProof/>
          <w:lang w:eastAsia="sr-Latn-RS"/>
        </w:rPr>
        <w:t xml:space="preserve"> ЕУ NCTS</w:t>
      </w:r>
      <w:r w:rsidR="00F45239" w:rsidRPr="00C77B55">
        <w:rPr>
          <w:rFonts w:ascii="Times New Roman" w:hAnsi="Times New Roman"/>
          <w:noProof/>
          <w:lang w:val="sr-Cyrl-RS" w:eastAsia="sr-Latn-RS"/>
        </w:rPr>
        <w:t xml:space="preserve"> фазе 6)</w:t>
      </w:r>
      <w:r w:rsidR="00F45239" w:rsidRPr="00C77B55">
        <w:rPr>
          <w:rFonts w:ascii="Times New Roman" w:hAnsi="Times New Roman"/>
          <w:noProof/>
          <w:lang w:eastAsia="sr-Latn-RS"/>
        </w:rPr>
        <w:t xml:space="preserve">, </w:t>
      </w:r>
      <w:r w:rsidRPr="00C77B55">
        <w:rPr>
          <w:rFonts w:ascii="Times New Roman" w:hAnsi="Times New Roman"/>
          <w:noProof/>
          <w:lang w:eastAsia="sr-Latn-RS"/>
        </w:rPr>
        <w:t>како би Босна и Херцеговина наставила активности и одржала континуитет у овом процесу.</w:t>
      </w:r>
    </w:p>
    <w:p w:rsidR="00A8611C" w:rsidRPr="00C77B55" w:rsidRDefault="00A8611C" w:rsidP="00A8611C">
      <w:pPr>
        <w:pStyle w:val="NoSpacing"/>
        <w:jc w:val="both"/>
        <w:rPr>
          <w:rFonts w:eastAsia="Calibri"/>
          <w:noProof/>
          <w:sz w:val="22"/>
          <w:szCs w:val="22"/>
          <w:lang w:val="sr-Latn-BA" w:eastAsia="sr-Latn-RS"/>
        </w:rPr>
      </w:pPr>
    </w:p>
    <w:p w:rsidR="00A8611C" w:rsidRPr="00C77B55" w:rsidRDefault="00A8611C" w:rsidP="00A8611C">
      <w:pPr>
        <w:pStyle w:val="NoSpacing"/>
        <w:jc w:val="both"/>
        <w:rPr>
          <w:noProof/>
          <w:sz w:val="22"/>
          <w:szCs w:val="22"/>
          <w:lang w:val="sr-Latn-BA" w:eastAsia="sr-Latn-RS"/>
        </w:rPr>
      </w:pPr>
      <w:r w:rsidRPr="00C77B55">
        <w:rPr>
          <w:noProof/>
          <w:sz w:val="22"/>
          <w:szCs w:val="22"/>
          <w:lang w:val="sr-Latn-BA" w:eastAsia="sr-Latn-RS"/>
        </w:rPr>
        <w:t xml:space="preserve">Надаље, обзиром на наглу популараност е-commerce платформи, посебно са уласком кинеске платформе TEMU на тржиште БиХ, потребно је регулисати основе царинског поступка са </w:t>
      </w:r>
      <w:r w:rsidRPr="00C77B55">
        <w:rPr>
          <w:noProof/>
          <w:sz w:val="22"/>
          <w:szCs w:val="22"/>
          <w:lang w:val="sr-Cyrl-BA" w:eastAsia="sr-Latn-RS"/>
        </w:rPr>
        <w:t xml:space="preserve">поштанским и </w:t>
      </w:r>
      <w:r w:rsidRPr="00C77B55">
        <w:rPr>
          <w:noProof/>
          <w:sz w:val="22"/>
          <w:szCs w:val="22"/>
          <w:lang w:val="sr-Latn-BA" w:eastAsia="sr-Latn-RS"/>
        </w:rPr>
        <w:t>експресним пошиљкама</w:t>
      </w:r>
      <w:r w:rsidRPr="00C77B55">
        <w:rPr>
          <w:rFonts w:eastAsia="Calibri"/>
          <w:noProof/>
          <w:sz w:val="22"/>
          <w:szCs w:val="22"/>
          <w:lang w:val="sr-Cyrl-BA" w:eastAsia="sr-Latn-RS"/>
        </w:rPr>
        <w:t xml:space="preserve"> које преносе поштански оператери и експресни оператери (лиценцирани приватни поштански оператери)</w:t>
      </w:r>
      <w:r w:rsidRPr="00C77B55">
        <w:rPr>
          <w:noProof/>
          <w:sz w:val="22"/>
          <w:szCs w:val="22"/>
          <w:lang w:val="sr-Latn-BA" w:eastAsia="sr-Latn-RS"/>
        </w:rPr>
        <w:t>, у вези чега су извршене одговарајуће допуне Одлуке, што ће бити основа и за успостављање информационе подршке за пријављивање тих пошиљки и обраду података о истима.</w:t>
      </w:r>
    </w:p>
    <w:p w:rsidR="00A8611C" w:rsidRPr="00C77B55" w:rsidRDefault="00A8611C" w:rsidP="00A8611C">
      <w:pPr>
        <w:pStyle w:val="NoSpacing"/>
        <w:jc w:val="both"/>
        <w:rPr>
          <w:noProof/>
          <w:lang w:val="sr-Latn-BA" w:eastAsia="sr-Latn-RS"/>
        </w:rPr>
      </w:pPr>
    </w:p>
    <w:p w:rsidR="00A8611C" w:rsidRPr="00C77B55" w:rsidRDefault="00A8611C" w:rsidP="00A8611C">
      <w:pPr>
        <w:pStyle w:val="NoSpacing"/>
        <w:jc w:val="both"/>
        <w:rPr>
          <w:rFonts w:eastAsia="Calibri"/>
          <w:noProof/>
          <w:sz w:val="22"/>
          <w:szCs w:val="22"/>
          <w:lang w:val="sr-Cyrl-BA" w:eastAsia="sr-Latn-RS"/>
        </w:rPr>
      </w:pPr>
      <w:r w:rsidRPr="00C77B55">
        <w:rPr>
          <w:rFonts w:eastAsia="Calibri"/>
          <w:noProof/>
          <w:sz w:val="22"/>
          <w:szCs w:val="22"/>
          <w:lang w:val="sr-Cyrl-BA" w:eastAsia="sr-Latn-RS"/>
        </w:rPr>
        <w:t xml:space="preserve">Предложена допуна члана 465. </w:t>
      </w:r>
      <w:r w:rsidRPr="00C77B55">
        <w:rPr>
          <w:rFonts w:eastAsia="Calibri"/>
          <w:noProof/>
          <w:sz w:val="22"/>
          <w:szCs w:val="22"/>
          <w:lang w:val="sr-Latn-BA" w:eastAsia="sr-Latn-RS"/>
        </w:rPr>
        <w:t xml:space="preserve">став (3) </w:t>
      </w:r>
      <w:r w:rsidRPr="00C77B55">
        <w:rPr>
          <w:rFonts w:eastAsia="Calibri"/>
          <w:noProof/>
          <w:sz w:val="22"/>
          <w:szCs w:val="22"/>
          <w:lang w:val="sr-Cyrl-BA" w:eastAsia="sr-Latn-RS"/>
        </w:rPr>
        <w:t xml:space="preserve">Одлуке, биће основа да се потврђивање физичког иступа из царинског подручја Босне и Херцеговине извозно оцарињене робе може обавити и путем електронске евиденције коју за ту сврху Управа за индиректно опорезивање успостави, поред овјере физичког иступа робе на оригиналу примјерка број 3 извозне царинске декларације, што ће извозницима бити од великог значаја јер ће се поједноставити одређене формалности у извозном поступку.  </w:t>
      </w:r>
    </w:p>
    <w:p w:rsidR="00A8611C" w:rsidRPr="00C77B55" w:rsidRDefault="00A8611C" w:rsidP="00A8611C">
      <w:pPr>
        <w:pStyle w:val="NoSpacing"/>
        <w:jc w:val="both"/>
        <w:rPr>
          <w:rFonts w:eastAsia="Calibri"/>
          <w:noProof/>
          <w:sz w:val="22"/>
          <w:szCs w:val="22"/>
          <w:lang w:val="sr-Cyrl-BA" w:eastAsia="sr-Latn-RS"/>
        </w:rPr>
      </w:pPr>
    </w:p>
    <w:p w:rsidR="00A8611C" w:rsidRPr="00C77B55" w:rsidRDefault="00A8611C" w:rsidP="00A8611C">
      <w:pPr>
        <w:pStyle w:val="NoSpacing"/>
        <w:jc w:val="both"/>
        <w:rPr>
          <w:noProof/>
          <w:sz w:val="22"/>
          <w:szCs w:val="22"/>
          <w:lang w:val="sr-Latn-BA"/>
        </w:rPr>
      </w:pPr>
      <w:r w:rsidRPr="00C77B55">
        <w:rPr>
          <w:rFonts w:eastAsia="Calibri"/>
          <w:noProof/>
          <w:sz w:val="22"/>
          <w:szCs w:val="22"/>
          <w:lang w:val="sr-Latn-BA" w:eastAsia="sr-Latn-RS"/>
        </w:rPr>
        <w:t>Слиједом наведеног, а на основу посљедњих измјена царинског законодавства ЕУ у области поступка провоза и то: Делегиране уредбе Комисије 2015/2446 (DA/UCC) и Проведбене уредбе Комисије 2015/2477 (IA/UCC), те измјена CTC Конвенције</w:t>
      </w:r>
      <w:r w:rsidR="00F45239" w:rsidRPr="00C77B55">
        <w:rPr>
          <w:rFonts w:eastAsia="Calibri"/>
          <w:noProof/>
          <w:sz w:val="22"/>
          <w:szCs w:val="22"/>
          <w:lang w:val="sr-Cyrl-RS" w:eastAsia="sr-Latn-RS"/>
        </w:rPr>
        <w:t xml:space="preserve"> (Одлука број 1/2024 ЕУ-ЦТЦ заједничких комитета од 18.10.2024. године, објављена у Службеном гласнику ЕУ 2025/137 од 30.01.2025. године)</w:t>
      </w:r>
      <w:r w:rsidRPr="00C77B55">
        <w:rPr>
          <w:rFonts w:eastAsia="Calibri"/>
          <w:noProof/>
          <w:sz w:val="22"/>
          <w:szCs w:val="22"/>
          <w:lang w:val="sr-Latn-BA" w:eastAsia="sr-Latn-RS"/>
        </w:rPr>
        <w:t xml:space="preserve">, које се темеље на поменутим уредбама ЕУ, а за потребе надоградње NCTS апликације фазе 5.13. у </w:t>
      </w:r>
      <w:r w:rsidRPr="00C77B55">
        <w:rPr>
          <w:rFonts w:eastAsia="Calibri"/>
          <w:noProof/>
          <w:sz w:val="22"/>
          <w:szCs w:val="22"/>
          <w:lang w:val="sr-Cyrl-BA" w:eastAsia="sr-Latn-RS"/>
        </w:rPr>
        <w:t xml:space="preserve">коначну фазу </w:t>
      </w:r>
      <w:r w:rsidRPr="00C77B55">
        <w:rPr>
          <w:rFonts w:eastAsia="Calibri"/>
          <w:noProof/>
          <w:sz w:val="22"/>
          <w:szCs w:val="22"/>
          <w:lang w:val="sr-Latn-BA" w:eastAsia="sr-Latn-RS"/>
        </w:rPr>
        <w:t xml:space="preserve">NCTS </w:t>
      </w:r>
      <w:r w:rsidRPr="00C77B55">
        <w:rPr>
          <w:rFonts w:eastAsia="Calibri"/>
          <w:noProof/>
          <w:sz w:val="22"/>
          <w:szCs w:val="22"/>
          <w:lang w:val="sr-Cyrl-BA" w:eastAsia="sr-Latn-RS"/>
        </w:rPr>
        <w:t>апликације са којом ће БиХ приступити</w:t>
      </w:r>
      <w:r w:rsidRPr="00C77B55">
        <w:rPr>
          <w:rFonts w:eastAsia="Calibri"/>
          <w:noProof/>
          <w:sz w:val="22"/>
          <w:szCs w:val="22"/>
          <w:lang w:val="sr-Latn-BA" w:eastAsia="sr-Latn-RS"/>
        </w:rPr>
        <w:t xml:space="preserve"> </w:t>
      </w:r>
      <w:r w:rsidRPr="00C77B55">
        <w:rPr>
          <w:noProof/>
          <w:lang w:val="sr-Latn-BA" w:eastAsia="sr-Latn-RS"/>
        </w:rPr>
        <w:t>CTC Конвенцији</w:t>
      </w:r>
      <w:r w:rsidRPr="00C77B55">
        <w:rPr>
          <w:rFonts w:eastAsia="Calibri"/>
          <w:noProof/>
          <w:sz w:val="22"/>
          <w:szCs w:val="22"/>
          <w:lang w:val="sr-Latn-BA" w:eastAsia="sr-Latn-RS"/>
        </w:rPr>
        <w:t xml:space="preserve"> и тестирања прихватљивости исте, укључујући и одређене националне захтјеве, као и потребе регулисања царинског поступка </w:t>
      </w:r>
      <w:r w:rsidRPr="00C77B55">
        <w:rPr>
          <w:rFonts w:eastAsia="Calibri"/>
          <w:noProof/>
          <w:sz w:val="22"/>
          <w:szCs w:val="22"/>
          <w:lang w:val="sr-Cyrl-BA" w:eastAsia="sr-Latn-RS"/>
        </w:rPr>
        <w:t xml:space="preserve">са </w:t>
      </w:r>
      <w:r w:rsidRPr="00C77B55">
        <w:rPr>
          <w:noProof/>
          <w:sz w:val="22"/>
          <w:szCs w:val="22"/>
          <w:lang w:val="sr-Cyrl-BA" w:eastAsia="sr-Latn-RS"/>
        </w:rPr>
        <w:t xml:space="preserve">поштанским и </w:t>
      </w:r>
      <w:r w:rsidRPr="00C77B55">
        <w:rPr>
          <w:noProof/>
          <w:sz w:val="22"/>
          <w:szCs w:val="22"/>
          <w:lang w:val="sr-Latn-BA" w:eastAsia="sr-Latn-RS"/>
        </w:rPr>
        <w:t>експресним пошиљкама</w:t>
      </w:r>
      <w:r w:rsidRPr="00C77B55">
        <w:rPr>
          <w:rFonts w:eastAsia="Calibri"/>
          <w:noProof/>
          <w:sz w:val="22"/>
          <w:szCs w:val="22"/>
          <w:lang w:val="sr-Cyrl-BA" w:eastAsia="sr-Latn-RS"/>
        </w:rPr>
        <w:t xml:space="preserve"> које преносе поштански оператери и експресни оператери</w:t>
      </w:r>
      <w:r w:rsidRPr="00C77B55">
        <w:rPr>
          <w:rFonts w:eastAsia="Calibri"/>
          <w:noProof/>
          <w:sz w:val="22"/>
          <w:szCs w:val="22"/>
          <w:lang w:val="sr-Latn-BA" w:eastAsia="sr-Latn-RS"/>
        </w:rPr>
        <w:t xml:space="preserve"> (</w:t>
      </w:r>
      <w:r w:rsidRPr="00C77B55">
        <w:rPr>
          <w:rFonts w:eastAsia="Calibri"/>
          <w:noProof/>
          <w:sz w:val="22"/>
          <w:szCs w:val="22"/>
          <w:lang w:val="sr-Cyrl-BA" w:eastAsia="sr-Latn-RS"/>
        </w:rPr>
        <w:t>лиценцирани</w:t>
      </w:r>
      <w:r w:rsidRPr="00C77B55">
        <w:rPr>
          <w:rFonts w:eastAsia="Calibri"/>
          <w:noProof/>
          <w:sz w:val="22"/>
          <w:szCs w:val="22"/>
          <w:lang w:val="sr-Latn-BA" w:eastAsia="sr-Latn-RS"/>
        </w:rPr>
        <w:t xml:space="preserve"> </w:t>
      </w:r>
      <w:r w:rsidRPr="00C77B55">
        <w:rPr>
          <w:rFonts w:eastAsia="Calibri"/>
          <w:noProof/>
          <w:sz w:val="22"/>
          <w:szCs w:val="22"/>
          <w:lang w:val="sr-Cyrl-BA" w:eastAsia="sr-Latn-RS"/>
        </w:rPr>
        <w:t>приватни поштански оператери)</w:t>
      </w:r>
      <w:r w:rsidRPr="00C77B55">
        <w:rPr>
          <w:rFonts w:eastAsia="Calibri"/>
          <w:noProof/>
          <w:sz w:val="22"/>
          <w:szCs w:val="22"/>
          <w:lang w:val="sr-Latn-BA" w:eastAsia="sr-Latn-RS"/>
        </w:rPr>
        <w:t xml:space="preserve">, припремљен је преднацрт Одлуке о измјенама и допунама Одлуке о спровођењу Закона о царинској политици у Босни и Херцеговини, </w:t>
      </w:r>
      <w:r w:rsidRPr="00C77B55">
        <w:rPr>
          <w:noProof/>
          <w:sz w:val="22"/>
          <w:szCs w:val="22"/>
          <w:lang w:val="sr-Latn-BA"/>
        </w:rPr>
        <w:t>који је, усаглашаван са сљедећим ЕУ прописима и документима:</w:t>
      </w:r>
    </w:p>
    <w:p w:rsidR="00A8611C" w:rsidRPr="00C77B55" w:rsidRDefault="00A8611C" w:rsidP="00A8611C">
      <w:pPr>
        <w:pStyle w:val="NoSpacing"/>
        <w:jc w:val="both"/>
        <w:rPr>
          <w:noProof/>
          <w:sz w:val="22"/>
          <w:szCs w:val="22"/>
          <w:lang w:val="sr-Latn-BA"/>
        </w:rPr>
      </w:pPr>
    </w:p>
    <w:p w:rsidR="00A8611C" w:rsidRPr="00C77B55" w:rsidRDefault="00A8611C" w:rsidP="00A8611C">
      <w:pPr>
        <w:pStyle w:val="NoSpacing"/>
        <w:numPr>
          <w:ilvl w:val="0"/>
          <w:numId w:val="2"/>
        </w:numPr>
        <w:ind w:left="426" w:hanging="426"/>
        <w:jc w:val="both"/>
        <w:rPr>
          <w:noProof/>
          <w:sz w:val="22"/>
          <w:szCs w:val="22"/>
        </w:rPr>
      </w:pPr>
      <w:r w:rsidRPr="00C77B55">
        <w:rPr>
          <w:noProof/>
          <w:sz w:val="22"/>
          <w:szCs w:val="22"/>
          <w:lang w:val="sr-Cyrl-BA"/>
        </w:rPr>
        <w:t xml:space="preserve">чланом 1. тачка 46. и 47. </w:t>
      </w:r>
      <w:r w:rsidRPr="00C77B55">
        <w:rPr>
          <w:noProof/>
          <w:sz w:val="22"/>
          <w:szCs w:val="22"/>
        </w:rPr>
        <w:t>Делегиране уредбе Комисије (ЕУ) број 2015/2446 и њеним измјенама број 2020/877</w:t>
      </w:r>
      <w:r w:rsidRPr="00C77B55">
        <w:rPr>
          <w:noProof/>
          <w:sz w:val="22"/>
          <w:szCs w:val="22"/>
          <w:lang w:val="sr-Cyrl-BA"/>
        </w:rPr>
        <w:t xml:space="preserve">, </w:t>
      </w:r>
    </w:p>
    <w:p w:rsidR="00A8611C" w:rsidRPr="00C77B55" w:rsidRDefault="00A8611C" w:rsidP="00A8611C">
      <w:pPr>
        <w:pStyle w:val="NoSpacing"/>
        <w:numPr>
          <w:ilvl w:val="0"/>
          <w:numId w:val="2"/>
        </w:numPr>
        <w:ind w:left="426" w:hanging="426"/>
        <w:jc w:val="both"/>
        <w:rPr>
          <w:noProof/>
          <w:sz w:val="22"/>
          <w:szCs w:val="22"/>
          <w:lang w:val="sr-Latn-BA"/>
        </w:rPr>
      </w:pPr>
      <w:r w:rsidRPr="00C77B55">
        <w:rPr>
          <w:noProof/>
          <w:sz w:val="22"/>
          <w:szCs w:val="22"/>
          <w:lang w:val="sr-Latn-BA"/>
        </w:rPr>
        <w:t>Прилогом Б, Делегиране уредбе Комисије (ЕУ) број 2015/2446 и њеним измјенама број 2021/234</w:t>
      </w:r>
    </w:p>
    <w:p w:rsidR="00A8611C" w:rsidRPr="00C77B55" w:rsidRDefault="00A8611C" w:rsidP="00A8611C">
      <w:pPr>
        <w:pStyle w:val="NoSpacing"/>
        <w:numPr>
          <w:ilvl w:val="0"/>
          <w:numId w:val="2"/>
        </w:numPr>
        <w:ind w:left="426" w:hanging="426"/>
        <w:jc w:val="both"/>
        <w:rPr>
          <w:noProof/>
          <w:sz w:val="22"/>
          <w:szCs w:val="22"/>
          <w:lang w:val="sr-Latn-BA"/>
        </w:rPr>
      </w:pPr>
      <w:r w:rsidRPr="00C77B55">
        <w:rPr>
          <w:noProof/>
          <w:sz w:val="22"/>
          <w:szCs w:val="22"/>
          <w:lang w:val="sr-Latn-BA"/>
        </w:rPr>
        <w:t>Прилогом Б, Проведбене уредбе Комисије (ЕУ) број 2015/2447 и њеним измјенама број 2021/235</w:t>
      </w:r>
    </w:p>
    <w:p w:rsidR="00A8611C" w:rsidRPr="00C77B55" w:rsidRDefault="00A8611C" w:rsidP="00A8611C">
      <w:pPr>
        <w:pStyle w:val="NoSpacing"/>
        <w:numPr>
          <w:ilvl w:val="0"/>
          <w:numId w:val="2"/>
        </w:numPr>
        <w:ind w:left="426" w:hanging="426"/>
        <w:jc w:val="both"/>
        <w:rPr>
          <w:noProof/>
          <w:sz w:val="22"/>
          <w:szCs w:val="22"/>
          <w:lang w:val="sr-Latn-BA"/>
        </w:rPr>
      </w:pPr>
      <w:r w:rsidRPr="00C77B55">
        <w:rPr>
          <w:noProof/>
          <w:sz w:val="22"/>
          <w:szCs w:val="22"/>
          <w:lang w:val="sr-Latn-BA"/>
        </w:rPr>
        <w:t>Одлуком 1/2024 Заједничких одбора ЕУ-CTC о измјени CTC конвенције, у вези са модернизацијом NCTS система</w:t>
      </w:r>
    </w:p>
    <w:p w:rsidR="00A8611C" w:rsidRPr="00C77B55" w:rsidRDefault="00A8611C" w:rsidP="00A8611C">
      <w:pPr>
        <w:pStyle w:val="NoSpacing"/>
        <w:numPr>
          <w:ilvl w:val="0"/>
          <w:numId w:val="2"/>
        </w:numPr>
        <w:ind w:left="426" w:hanging="426"/>
        <w:jc w:val="both"/>
        <w:rPr>
          <w:noProof/>
          <w:sz w:val="22"/>
          <w:szCs w:val="22"/>
          <w:lang w:val="sr-Latn-BA"/>
        </w:rPr>
      </w:pPr>
      <w:r w:rsidRPr="00C77B55">
        <w:rPr>
          <w:noProof/>
          <w:sz w:val="22"/>
          <w:szCs w:val="22"/>
          <w:lang w:val="sr-Latn-BA"/>
        </w:rPr>
        <w:t>Посљедњом верзијом NCTS P 5.15, техничким и фукнционалним спецификацијама .</w:t>
      </w:r>
    </w:p>
    <w:p w:rsidR="00A8611C" w:rsidRPr="00C77B55" w:rsidRDefault="00A8611C" w:rsidP="00A8611C">
      <w:pPr>
        <w:pStyle w:val="NoSpacing"/>
        <w:jc w:val="both"/>
        <w:rPr>
          <w:noProof/>
          <w:sz w:val="22"/>
          <w:szCs w:val="22"/>
          <w:lang w:val="sr-Latn-BA"/>
        </w:rPr>
      </w:pPr>
    </w:p>
    <w:p w:rsidR="00A8611C" w:rsidRPr="00C77B55" w:rsidRDefault="00A8611C" w:rsidP="00A8611C">
      <w:pPr>
        <w:pStyle w:val="NoSpacing"/>
        <w:jc w:val="both"/>
        <w:rPr>
          <w:noProof/>
          <w:sz w:val="22"/>
          <w:szCs w:val="22"/>
          <w:lang w:val="sr-Latn-BA"/>
        </w:rPr>
      </w:pPr>
      <w:r w:rsidRPr="00C77B55">
        <w:rPr>
          <w:noProof/>
          <w:sz w:val="22"/>
          <w:szCs w:val="22"/>
          <w:lang w:val="sr-Latn-BA"/>
        </w:rPr>
        <w:t>Преднацрт Одлуке</w:t>
      </w:r>
      <w:r w:rsidRPr="00C77B55">
        <w:rPr>
          <w:bCs/>
          <w:noProof/>
          <w:sz w:val="22"/>
          <w:szCs w:val="22"/>
          <w:lang w:val="sr-Latn-BA"/>
        </w:rPr>
        <w:t xml:space="preserve"> </w:t>
      </w:r>
      <w:r w:rsidRPr="00C77B55">
        <w:rPr>
          <w:noProof/>
          <w:sz w:val="22"/>
          <w:szCs w:val="22"/>
          <w:lang w:val="sr-Latn-BA"/>
        </w:rPr>
        <w:t>о измјенама и допунама Одлуке о спровођењу Закона о царинској политици у Босни и Херцеговини припремљен је уз консултације са стручњацима ЕУ из Царинских управа Републике Словеније и Италије, у оквиру текућег Twinning пројекта ЕУ ''Јачање капацитета Управе за индиректно опорезивање''.</w:t>
      </w:r>
    </w:p>
    <w:p w:rsidR="00A8611C" w:rsidRPr="00C77B55" w:rsidRDefault="00A8611C" w:rsidP="00A8611C">
      <w:pPr>
        <w:pStyle w:val="NoSpacing"/>
        <w:jc w:val="both"/>
        <w:rPr>
          <w:noProof/>
          <w:sz w:val="22"/>
          <w:szCs w:val="22"/>
          <w:lang w:val="sr-Latn-BA"/>
        </w:rPr>
      </w:pPr>
    </w:p>
    <w:p w:rsidR="00A8611C" w:rsidRPr="00C77B55" w:rsidRDefault="00A8611C" w:rsidP="00A8611C">
      <w:pPr>
        <w:pStyle w:val="NoSpacing"/>
        <w:jc w:val="both"/>
        <w:rPr>
          <w:noProof/>
          <w:sz w:val="22"/>
          <w:szCs w:val="22"/>
          <w:lang w:val="sr-Latn-BA"/>
        </w:rPr>
      </w:pPr>
    </w:p>
    <w:p w:rsidR="00A8611C" w:rsidRPr="00C77B55" w:rsidRDefault="00A8611C" w:rsidP="00A8611C">
      <w:pPr>
        <w:pStyle w:val="NoSpacing"/>
        <w:jc w:val="both"/>
        <w:rPr>
          <w:b/>
          <w:noProof/>
          <w:sz w:val="22"/>
          <w:szCs w:val="22"/>
          <w:lang w:val="sr-Latn-BA"/>
        </w:rPr>
      </w:pPr>
      <w:r w:rsidRPr="00C77B55">
        <w:rPr>
          <w:b/>
          <w:noProof/>
          <w:sz w:val="22"/>
          <w:szCs w:val="22"/>
          <w:lang w:val="sr-Latn-BA"/>
        </w:rPr>
        <w:t xml:space="preserve">Подручја обухваћена измјеном Одлуке </w:t>
      </w:r>
    </w:p>
    <w:p w:rsidR="00A8611C" w:rsidRPr="00C77B55" w:rsidRDefault="00A8611C" w:rsidP="00A8611C">
      <w:pPr>
        <w:pStyle w:val="NoSpacing"/>
        <w:jc w:val="both"/>
        <w:rPr>
          <w:b/>
          <w:noProof/>
          <w:sz w:val="22"/>
          <w:szCs w:val="22"/>
          <w:lang w:val="sr-Latn-BA"/>
        </w:rPr>
      </w:pPr>
    </w:p>
    <w:p w:rsidR="00A8611C" w:rsidRPr="00C77B55" w:rsidRDefault="00AE6A5F" w:rsidP="00AE6A5F">
      <w:pPr>
        <w:pStyle w:val="NoSpacing"/>
        <w:jc w:val="both"/>
        <w:rPr>
          <w:noProof/>
          <w:sz w:val="22"/>
          <w:szCs w:val="22"/>
          <w:lang w:val="sr-Latn-BA"/>
        </w:rPr>
      </w:pPr>
      <w:r w:rsidRPr="00C77B55">
        <w:rPr>
          <w:noProof/>
          <w:sz w:val="22"/>
          <w:szCs w:val="22"/>
          <w:lang w:val="sr-Cyrl-RS"/>
        </w:rPr>
        <w:t xml:space="preserve">Измјене и допуне ове Одлуке обухватају област поступка провоза и регулисање основе царинског поступка са поштанским и експресним пошиљкама које преносе поштански и експресни оператери. </w:t>
      </w:r>
    </w:p>
    <w:p w:rsidR="00A8611C" w:rsidRPr="00C77B55" w:rsidRDefault="00A8611C" w:rsidP="00A8611C">
      <w:pPr>
        <w:pStyle w:val="NoSpacing"/>
        <w:jc w:val="both"/>
        <w:rPr>
          <w:b/>
          <w:noProof/>
          <w:sz w:val="22"/>
          <w:szCs w:val="22"/>
          <w:lang w:val="sr-Latn-BA"/>
        </w:rPr>
      </w:pPr>
    </w:p>
    <w:p w:rsidR="00A8611C" w:rsidRPr="00C77B55" w:rsidRDefault="00A8611C" w:rsidP="00A8611C">
      <w:pPr>
        <w:pStyle w:val="NoSpacing"/>
        <w:jc w:val="both"/>
        <w:rPr>
          <w:b/>
          <w:noProof/>
          <w:sz w:val="22"/>
          <w:szCs w:val="22"/>
          <w:lang w:val="sr-Latn-BA"/>
        </w:rPr>
      </w:pPr>
    </w:p>
    <w:p w:rsidR="00A8611C" w:rsidRPr="00C77B55" w:rsidRDefault="00A8611C" w:rsidP="00A8611C">
      <w:pPr>
        <w:pStyle w:val="NoSpacing"/>
        <w:jc w:val="both"/>
        <w:rPr>
          <w:b/>
          <w:noProof/>
          <w:sz w:val="22"/>
          <w:szCs w:val="22"/>
          <w:lang w:val="sr-Latn-BA"/>
        </w:rPr>
      </w:pPr>
      <w:r w:rsidRPr="00C77B55">
        <w:rPr>
          <w:b/>
          <w:noProof/>
          <w:sz w:val="22"/>
          <w:szCs w:val="22"/>
          <w:lang w:val="sr-Latn-BA"/>
        </w:rPr>
        <w:t>Проведбени механизми и начин обезбјеђења поштивања прописа</w:t>
      </w:r>
    </w:p>
    <w:p w:rsidR="00A8611C" w:rsidRPr="00C77B55" w:rsidRDefault="00A8611C" w:rsidP="00A8611C">
      <w:pPr>
        <w:pStyle w:val="NoSpacing"/>
        <w:jc w:val="both"/>
        <w:rPr>
          <w:b/>
          <w:noProof/>
          <w:sz w:val="22"/>
          <w:szCs w:val="22"/>
          <w:lang w:val="sr-Latn-BA"/>
        </w:rPr>
      </w:pPr>
    </w:p>
    <w:p w:rsidR="00A8611C" w:rsidRPr="00C77B55" w:rsidRDefault="00A8611C" w:rsidP="00A8611C">
      <w:pPr>
        <w:pStyle w:val="NoSpacing"/>
        <w:jc w:val="both"/>
        <w:rPr>
          <w:noProof/>
          <w:sz w:val="22"/>
          <w:szCs w:val="22"/>
          <w:lang w:val="sr-Latn-BA"/>
        </w:rPr>
      </w:pPr>
      <w:r w:rsidRPr="00C77B55">
        <w:rPr>
          <w:bCs/>
          <w:noProof/>
          <w:sz w:val="22"/>
          <w:szCs w:val="22"/>
          <w:lang w:val="sr-Latn-BA"/>
        </w:rPr>
        <w:t>Одлуку ће,</w:t>
      </w:r>
      <w:r w:rsidRPr="00C77B55">
        <w:rPr>
          <w:noProof/>
          <w:sz w:val="22"/>
          <w:szCs w:val="22"/>
          <w:lang w:val="sr-Latn-BA"/>
        </w:rPr>
        <w:t xml:space="preserve"> јединствено на цијелом царинском подручју Босне и Херцеговине, спроводити Управа за индиректно опорезивање, која је, према члану 4. Закона о систему индиректног опорезивања у Босни и Херцеговини (''Службени гласник БиХ'', бр. </w:t>
      </w:r>
      <w:r w:rsidRPr="00C77B55">
        <w:t>44/03, 52/04, 34/07, 4/08, 49/09, 32/13 и 91/17</w:t>
      </w:r>
      <w:r w:rsidRPr="00C77B55">
        <w:rPr>
          <w:noProof/>
          <w:sz w:val="22"/>
          <w:szCs w:val="22"/>
          <w:lang w:val="sr-Latn-BA"/>
        </w:rPr>
        <w:t>),</w:t>
      </w:r>
      <w:r w:rsidRPr="00C77B55">
        <w:rPr>
          <w:noProof/>
          <w:sz w:val="22"/>
          <w:szCs w:val="22"/>
          <w:lang w:val="sr-Cyrl-BA"/>
        </w:rPr>
        <w:t xml:space="preserve"> </w:t>
      </w:r>
      <w:r w:rsidRPr="00C77B55">
        <w:rPr>
          <w:noProof/>
          <w:sz w:val="22"/>
          <w:szCs w:val="22"/>
          <w:lang w:val="sr-Latn-BA"/>
        </w:rPr>
        <w:t xml:space="preserve"> једини орган у Босни и Херцеговини надлежан за спровођење законских прописа о индиректном опорезивању и политике коју утврди Савјет министара Босне и Херцеговине на приједлог Управног одбора Управе за индиректно опорезивање.</w:t>
      </w:r>
    </w:p>
    <w:p w:rsidR="00A8611C" w:rsidRPr="00C77B55" w:rsidRDefault="00A8611C" w:rsidP="00A8611C">
      <w:pPr>
        <w:pStyle w:val="NoSpacing"/>
        <w:jc w:val="both"/>
      </w:pPr>
    </w:p>
    <w:p w:rsidR="00A8611C" w:rsidRPr="00C77B55" w:rsidRDefault="00A8611C" w:rsidP="00A8611C">
      <w:pPr>
        <w:pStyle w:val="NoSpacing"/>
        <w:jc w:val="both"/>
        <w:rPr>
          <w:noProof/>
          <w:sz w:val="22"/>
          <w:szCs w:val="22"/>
          <w:lang w:val="sr-Latn-BA"/>
        </w:rPr>
      </w:pPr>
      <w:r w:rsidRPr="00C77B55">
        <w:rPr>
          <w:noProof/>
          <w:sz w:val="22"/>
          <w:szCs w:val="22"/>
          <w:lang w:val="sr-Latn-BA" w:eastAsia="hr-HR"/>
        </w:rPr>
        <w:t xml:space="preserve">Имајући у виду  међународне обавезе које је Босна и Херцеговина преузела у процесу ЕУ интеграција, те и у циљу да се допринесе олакшању рада пословне заједнице и убрзању провођења царинских поступака, УИО континуирано улаже све расположиве ресурсе (људски, технички и материјални), како би се у складу са националним пројектним планом имплементације NCTS-а обезбиједио континуитет. </w:t>
      </w:r>
    </w:p>
    <w:p w:rsidR="00A8611C" w:rsidRPr="00C77B55" w:rsidRDefault="00A8611C" w:rsidP="00A8611C">
      <w:pPr>
        <w:pStyle w:val="NoSpacing"/>
        <w:jc w:val="both"/>
        <w:rPr>
          <w:noProof/>
          <w:sz w:val="22"/>
          <w:szCs w:val="22"/>
          <w:lang w:val="sr-Latn-BA"/>
        </w:rPr>
      </w:pPr>
    </w:p>
    <w:p w:rsidR="00A8611C" w:rsidRPr="00C77B55" w:rsidRDefault="00A8611C" w:rsidP="00A8611C">
      <w:pPr>
        <w:pStyle w:val="NoSpacing"/>
        <w:jc w:val="both"/>
        <w:rPr>
          <w:noProof/>
          <w:sz w:val="22"/>
          <w:szCs w:val="22"/>
          <w:lang w:val="sr-Latn-BA"/>
        </w:rPr>
      </w:pPr>
    </w:p>
    <w:p w:rsidR="00A8611C" w:rsidRPr="00C77B55" w:rsidRDefault="00A8611C" w:rsidP="00A8611C">
      <w:pPr>
        <w:pStyle w:val="NoSpacing"/>
        <w:jc w:val="both"/>
        <w:rPr>
          <w:b/>
          <w:noProof/>
          <w:sz w:val="22"/>
          <w:szCs w:val="22"/>
          <w:lang w:val="sr-Latn-BA"/>
        </w:rPr>
      </w:pPr>
      <w:r w:rsidRPr="00C77B55">
        <w:rPr>
          <w:b/>
          <w:noProof/>
          <w:sz w:val="22"/>
          <w:szCs w:val="22"/>
          <w:lang w:val="sr-Latn-BA"/>
        </w:rPr>
        <w:t xml:space="preserve">Финансијска средства за спровођење Одлуке и финансијски ефекти </w:t>
      </w:r>
    </w:p>
    <w:p w:rsidR="00A8611C" w:rsidRPr="00C77B55" w:rsidRDefault="00A8611C" w:rsidP="00A8611C">
      <w:pPr>
        <w:pStyle w:val="NoSpacing"/>
        <w:jc w:val="both"/>
        <w:rPr>
          <w:noProof/>
          <w:sz w:val="22"/>
          <w:szCs w:val="22"/>
          <w:lang w:val="sr-Latn-BA"/>
        </w:rPr>
      </w:pPr>
    </w:p>
    <w:p w:rsidR="00A8611C" w:rsidRPr="00C77B55" w:rsidRDefault="00A8611C" w:rsidP="00A8611C">
      <w:pPr>
        <w:pStyle w:val="NoSpacing"/>
        <w:jc w:val="both"/>
        <w:rPr>
          <w:noProof/>
          <w:sz w:val="22"/>
          <w:szCs w:val="22"/>
          <w:lang w:val="sr-Latn-BA"/>
        </w:rPr>
      </w:pPr>
      <w:r w:rsidRPr="00C77B55">
        <w:rPr>
          <w:noProof/>
          <w:sz w:val="22"/>
          <w:szCs w:val="22"/>
          <w:lang w:val="sr-Latn-BA"/>
        </w:rPr>
        <w:t xml:space="preserve">Средства за финансирање рада Управе за индиректно опорезивање обезбјеђују се у буџету институција Босне и Херцеговине. </w:t>
      </w:r>
    </w:p>
    <w:p w:rsidR="00A8611C" w:rsidRPr="00C77B55" w:rsidRDefault="00A8611C" w:rsidP="00A8611C">
      <w:pPr>
        <w:pStyle w:val="NoSpacing"/>
        <w:jc w:val="both"/>
        <w:rPr>
          <w:noProof/>
          <w:sz w:val="22"/>
          <w:szCs w:val="22"/>
          <w:lang w:val="sr-Latn-BA"/>
        </w:rPr>
      </w:pPr>
    </w:p>
    <w:p w:rsidR="00A8611C" w:rsidRPr="00C77B55" w:rsidRDefault="00A8611C" w:rsidP="00A8611C">
      <w:pPr>
        <w:pStyle w:val="NoSpacing"/>
        <w:jc w:val="both"/>
        <w:rPr>
          <w:noProof/>
          <w:sz w:val="22"/>
          <w:szCs w:val="22"/>
          <w:lang w:val="sr-Latn-BA"/>
        </w:rPr>
      </w:pPr>
      <w:r w:rsidRPr="00C77B55">
        <w:rPr>
          <w:noProof/>
          <w:sz w:val="22"/>
          <w:szCs w:val="22"/>
          <w:lang w:val="sr-Latn-BA"/>
        </w:rPr>
        <w:t xml:space="preserve">За имплементацију Одлуке о спровођењу Закона о царинској политици у Босни и Херцеговини, односно спровођење електронског царинског поступка провоза прописаног Одлуком потребно је континирано радити на развоју и одржавању новог компјутеризованог провозног система, који омогућава електронску размјену података у царинском поступку провоза између УИО и пословне заједнице. </w:t>
      </w:r>
    </w:p>
    <w:p w:rsidR="00A8611C" w:rsidRPr="00C77B55" w:rsidRDefault="00A8611C" w:rsidP="00A8611C">
      <w:pPr>
        <w:pStyle w:val="NoSpacing"/>
        <w:jc w:val="both"/>
        <w:rPr>
          <w:noProof/>
          <w:sz w:val="22"/>
          <w:szCs w:val="22"/>
          <w:lang w:val="sr-Latn-BA"/>
        </w:rPr>
      </w:pPr>
    </w:p>
    <w:p w:rsidR="00A8611C" w:rsidRPr="00C77B55" w:rsidRDefault="00A8611C" w:rsidP="00A8611C">
      <w:pPr>
        <w:pStyle w:val="NoSpacing"/>
        <w:jc w:val="both"/>
        <w:rPr>
          <w:noProof/>
          <w:sz w:val="22"/>
          <w:szCs w:val="22"/>
          <w:lang w:val="sr-Latn-BA"/>
        </w:rPr>
      </w:pPr>
      <w:r w:rsidRPr="00C77B55">
        <w:rPr>
          <w:noProof/>
          <w:sz w:val="22"/>
          <w:szCs w:val="22"/>
          <w:lang w:val="sr-Latn-BA"/>
        </w:rPr>
        <w:t xml:space="preserve">За спровођење Одлуке о измјенама и допунама Одлуке о спровођењу Закона о царинској политици у Босни и Херцеговини, а у вези са примјеном ЕУ NCTS-а за потребу заједничког поступка провоза, тренутно су финансијска средства обезбијеђена из буџета УИО. </w:t>
      </w:r>
    </w:p>
    <w:p w:rsidR="00A8611C" w:rsidRPr="00C77B55" w:rsidRDefault="00A8611C" w:rsidP="00A8611C">
      <w:pPr>
        <w:pStyle w:val="NoSpacing"/>
        <w:jc w:val="both"/>
        <w:rPr>
          <w:noProof/>
          <w:sz w:val="22"/>
          <w:szCs w:val="22"/>
          <w:lang w:val="sr-Latn-BA"/>
        </w:rPr>
      </w:pPr>
    </w:p>
    <w:p w:rsidR="00A8611C" w:rsidRPr="001B3175" w:rsidRDefault="00A8611C" w:rsidP="00A8611C">
      <w:pPr>
        <w:pStyle w:val="NoSpacing"/>
        <w:jc w:val="both"/>
        <w:rPr>
          <w:noProof/>
          <w:sz w:val="22"/>
          <w:szCs w:val="22"/>
          <w:lang w:val="sr-Latn-BA"/>
        </w:rPr>
      </w:pPr>
      <w:r w:rsidRPr="00C77B55">
        <w:rPr>
          <w:noProof/>
          <w:sz w:val="22"/>
          <w:szCs w:val="22"/>
          <w:lang w:val="sr-Latn-BA"/>
        </w:rPr>
        <w:t xml:space="preserve">Одлука о измјенама и допунама </w:t>
      </w:r>
      <w:bookmarkEnd w:id="0"/>
      <w:r w:rsidRPr="001B3175">
        <w:rPr>
          <w:noProof/>
          <w:sz w:val="22"/>
          <w:szCs w:val="22"/>
          <w:lang w:val="sr-Latn-BA"/>
        </w:rPr>
        <w:t>Одлуке о спровођењу Закона о царинској политици у Босни и Херцеговини нема финансијског утицаја на прикупљање индиректних пореза. Ово из разлога што се на увозну робу, која је пријављена за царински поступак у којем та роба подлијеже плаћању увозних дажбина (царине) и других индиректних пореза, увозне дажбине наплаћују према примјенљивим царинским стопама прописаним важећом Царинском тарифом Босне и Херцеговине, порез на додату вриједност према стопи прописаној Законом о порезу на додату вриједност, те акцизе и путарина према стопама/износима прописаним Законом о акцизама у Босни и Херцеговини и то само на увозну робу за коју је тим законом прописано опорезивање акцизом и путарином при увозу, који закони производе финансијске ефекте, док се Одлуком о спровођењу Закона о царинској политици у Босни и Херцеговини само регулише начин спровођења Закона о царинској политици у Босни и Херцеговини.</w:t>
      </w:r>
    </w:p>
    <w:p w:rsidR="00A8611C" w:rsidRPr="001B3175" w:rsidRDefault="00A8611C" w:rsidP="00A8611C">
      <w:pPr>
        <w:pStyle w:val="NoSpacing"/>
        <w:jc w:val="both"/>
        <w:rPr>
          <w:noProof/>
          <w:sz w:val="22"/>
          <w:szCs w:val="22"/>
          <w:lang w:val="sr-Latn-BA"/>
        </w:rPr>
      </w:pPr>
    </w:p>
    <w:p w:rsidR="00A8611C" w:rsidRPr="001B3175" w:rsidRDefault="00A8611C" w:rsidP="00A8611C">
      <w:pPr>
        <w:pStyle w:val="NoSpacing"/>
        <w:jc w:val="both"/>
        <w:rPr>
          <w:noProof/>
          <w:sz w:val="22"/>
          <w:szCs w:val="22"/>
          <w:lang w:val="sr-Latn-BA"/>
        </w:rPr>
      </w:pPr>
    </w:p>
    <w:p w:rsidR="00A8611C" w:rsidRPr="001B3175" w:rsidRDefault="00A8611C" w:rsidP="00A8611C">
      <w:pPr>
        <w:pStyle w:val="NoSpacing"/>
        <w:jc w:val="both"/>
        <w:rPr>
          <w:noProof/>
          <w:sz w:val="22"/>
          <w:szCs w:val="22"/>
          <w:lang w:val="sr-Latn-BA"/>
        </w:rPr>
      </w:pPr>
    </w:p>
    <w:p w:rsidR="00A8611C" w:rsidRPr="001B3175" w:rsidRDefault="00A8611C" w:rsidP="00A8611C">
      <w:pPr>
        <w:pStyle w:val="NoSpacing"/>
        <w:jc w:val="both"/>
        <w:rPr>
          <w:noProof/>
          <w:sz w:val="22"/>
          <w:szCs w:val="22"/>
          <w:lang w:val="sr-Latn-BA"/>
        </w:rPr>
      </w:pPr>
    </w:p>
    <w:p w:rsidR="00A8611C" w:rsidRPr="001B3175" w:rsidRDefault="00A8611C" w:rsidP="00A8611C">
      <w:pPr>
        <w:spacing w:after="0" w:line="240" w:lineRule="auto"/>
        <w:rPr>
          <w:rFonts w:ascii="Times New Roman" w:eastAsia="Times New Roman" w:hAnsi="Times New Roman"/>
          <w:noProof/>
        </w:rPr>
      </w:pPr>
      <w:r w:rsidRPr="001B3175">
        <w:rPr>
          <w:rFonts w:ascii="Times New Roman" w:eastAsia="Times New Roman" w:hAnsi="Times New Roman"/>
          <w:noProof/>
        </w:rPr>
        <w:t>Бања Лука</w:t>
      </w:r>
      <w:r w:rsidR="004F6D4C">
        <w:rPr>
          <w:rFonts w:ascii="Times New Roman" w:eastAsia="Times New Roman" w:hAnsi="Times New Roman"/>
          <w:noProof/>
        </w:rPr>
        <w:t>, 21</w:t>
      </w:r>
      <w:r w:rsidRPr="004C41F9">
        <w:rPr>
          <w:rFonts w:ascii="Times New Roman" w:eastAsia="Times New Roman" w:hAnsi="Times New Roman"/>
          <w:noProof/>
        </w:rPr>
        <w:t>.</w:t>
      </w:r>
      <w:r w:rsidRPr="004C41F9">
        <w:rPr>
          <w:rFonts w:ascii="Times New Roman" w:eastAsia="Times New Roman" w:hAnsi="Times New Roman"/>
          <w:noProof/>
          <w:lang w:val="sr-Cyrl-BA"/>
        </w:rPr>
        <w:t>05</w:t>
      </w:r>
      <w:r w:rsidRPr="004C41F9">
        <w:rPr>
          <w:rFonts w:ascii="Times New Roman" w:eastAsia="Times New Roman" w:hAnsi="Times New Roman"/>
          <w:noProof/>
        </w:rPr>
        <w:t>.202</w:t>
      </w:r>
      <w:r w:rsidRPr="004C41F9">
        <w:rPr>
          <w:rFonts w:ascii="Times New Roman" w:eastAsia="Times New Roman" w:hAnsi="Times New Roman"/>
          <w:noProof/>
          <w:lang w:val="sr-Cyrl-BA"/>
        </w:rPr>
        <w:t>5</w:t>
      </w:r>
      <w:r w:rsidRPr="004C41F9">
        <w:rPr>
          <w:rFonts w:ascii="Times New Roman" w:eastAsia="Times New Roman" w:hAnsi="Times New Roman"/>
          <w:noProof/>
        </w:rPr>
        <w:t>. године</w:t>
      </w:r>
      <w:r w:rsidRPr="001B3175">
        <w:rPr>
          <w:rFonts w:ascii="Times New Roman" w:eastAsia="Times New Roman" w:hAnsi="Times New Roman"/>
          <w:noProof/>
        </w:rPr>
        <w:t xml:space="preserve">                               УПРАВА ЗА ИНДИРЕКТНО ОПОРЕЗИВАЊЕ</w:t>
      </w:r>
    </w:p>
    <w:p w:rsidR="00A8611C" w:rsidRPr="00492F64" w:rsidRDefault="00A8611C" w:rsidP="00A8611C">
      <w:pPr>
        <w:pStyle w:val="NoSpacing"/>
        <w:rPr>
          <w:sz w:val="22"/>
          <w:szCs w:val="22"/>
          <w:lang w:val="sr-Cyrl-RS"/>
        </w:rPr>
      </w:pPr>
    </w:p>
    <w:p w:rsidR="00A86758" w:rsidRDefault="00A86758"/>
    <w:sectPr w:rsidR="00A86758" w:rsidSect="00FE3DF4">
      <w:footerReference w:type="even" r:id="rId7"/>
      <w:footerReference w:type="default" r:id="rId8"/>
      <w:pgSz w:w="11907" w:h="16840" w:code="9"/>
      <w:pgMar w:top="1135" w:right="1417" w:bottom="1418" w:left="1134" w:header="709" w:footer="6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FFE" w:rsidRDefault="009F4723">
      <w:pPr>
        <w:spacing w:after="0" w:line="240" w:lineRule="auto"/>
      </w:pPr>
      <w:r>
        <w:separator/>
      </w:r>
    </w:p>
  </w:endnote>
  <w:endnote w:type="continuationSeparator" w:id="0">
    <w:p w:rsidR="00C27FFE" w:rsidRDefault="009F4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22E" w:rsidRDefault="00A8611C" w:rsidP="00A316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622E" w:rsidRDefault="0052517D" w:rsidP="00055D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22E" w:rsidRDefault="00A8611C">
    <w:pPr>
      <w:pStyle w:val="Footer"/>
      <w:jc w:val="center"/>
    </w:pPr>
    <w:r>
      <w:fldChar w:fldCharType="begin"/>
    </w:r>
    <w:r>
      <w:instrText xml:space="preserve"> PAGE   \* MERGEFORMAT </w:instrText>
    </w:r>
    <w:r>
      <w:fldChar w:fldCharType="separate"/>
    </w:r>
    <w:r w:rsidR="0052517D">
      <w:rPr>
        <w:noProof/>
      </w:rPr>
      <w:t>3</w:t>
    </w:r>
    <w:r>
      <w:rPr>
        <w:noProof/>
      </w:rPr>
      <w:fldChar w:fldCharType="end"/>
    </w:r>
  </w:p>
  <w:p w:rsidR="00EC622E" w:rsidRDefault="00525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FFE" w:rsidRDefault="009F4723">
      <w:pPr>
        <w:spacing w:after="0" w:line="240" w:lineRule="auto"/>
      </w:pPr>
      <w:r>
        <w:separator/>
      </w:r>
    </w:p>
  </w:footnote>
  <w:footnote w:type="continuationSeparator" w:id="0">
    <w:p w:rsidR="00C27FFE" w:rsidRDefault="009F47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E83324"/>
    <w:multiLevelType w:val="hybridMultilevel"/>
    <w:tmpl w:val="4260D9CA"/>
    <w:lvl w:ilvl="0" w:tplc="E1C27F36">
      <w:numFmt w:val="bullet"/>
      <w:lvlText w:val="-"/>
      <w:lvlJc w:val="left"/>
      <w:pPr>
        <w:ind w:left="720" w:hanging="360"/>
      </w:pPr>
      <w:rPr>
        <w:rFonts w:ascii="Times New Roman" w:eastAsia="Calibri"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5EF93A5F"/>
    <w:multiLevelType w:val="hybridMultilevel"/>
    <w:tmpl w:val="7FFC7E2E"/>
    <w:lvl w:ilvl="0" w:tplc="181A000F">
      <w:start w:val="1"/>
      <w:numFmt w:val="decimal"/>
      <w:lvlText w:val="%1."/>
      <w:lvlJc w:val="left"/>
      <w:pPr>
        <w:ind w:left="36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4F7"/>
    <w:rsid w:val="004F6D4C"/>
    <w:rsid w:val="0052517D"/>
    <w:rsid w:val="009F4723"/>
    <w:rsid w:val="00A8611C"/>
    <w:rsid w:val="00A86758"/>
    <w:rsid w:val="00AE6A5F"/>
    <w:rsid w:val="00C27FFE"/>
    <w:rsid w:val="00C77B55"/>
    <w:rsid w:val="00ED14F7"/>
    <w:rsid w:val="00F4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DDA336-E577-4C55-93D0-4144FBE0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8611C"/>
    <w:pPr>
      <w:widowControl w:val="0"/>
      <w:tabs>
        <w:tab w:val="center" w:pos="4535"/>
        <w:tab w:val="right" w:pos="9071"/>
      </w:tabs>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FooterChar">
    <w:name w:val="Footer Char"/>
    <w:basedOn w:val="DefaultParagraphFont"/>
    <w:link w:val="Footer"/>
    <w:uiPriority w:val="99"/>
    <w:rsid w:val="00A8611C"/>
    <w:rPr>
      <w:rFonts w:ascii="Times New Roman" w:eastAsia="Times New Roman" w:hAnsi="Times New Roman" w:cs="Times New Roman"/>
      <w:sz w:val="20"/>
      <w:szCs w:val="20"/>
      <w:lang w:val="x-none" w:eastAsia="x-none"/>
    </w:rPr>
  </w:style>
  <w:style w:type="character" w:styleId="PageNumber">
    <w:name w:val="page number"/>
    <w:basedOn w:val="DefaultParagraphFont"/>
    <w:rsid w:val="00A8611C"/>
  </w:style>
  <w:style w:type="paragraph" w:styleId="NoSpacing">
    <w:name w:val="No Spacing"/>
    <w:link w:val="NoSpacingChar"/>
    <w:uiPriority w:val="1"/>
    <w:qFormat/>
    <w:rsid w:val="00A8611C"/>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rsid w:val="00A8611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77B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B55"/>
    <w:rPr>
      <w:rFonts w:ascii="Segoe UI" w:hAnsi="Segoe UI" w:cs="Segoe UI"/>
      <w:sz w:val="18"/>
      <w:szCs w:val="18"/>
      <w:lang w:val="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1316</Words>
  <Characters>7506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Debeljak</dc:creator>
  <cp:keywords/>
  <dc:description/>
  <cp:lastModifiedBy>Tanja Debeljak</cp:lastModifiedBy>
  <cp:revision>5</cp:revision>
  <cp:lastPrinted>2025-05-21T10:42:00Z</cp:lastPrinted>
  <dcterms:created xsi:type="dcterms:W3CDTF">2025-05-21T10:08:00Z</dcterms:created>
  <dcterms:modified xsi:type="dcterms:W3CDTF">2025-05-21T10:53:00Z</dcterms:modified>
</cp:coreProperties>
</file>