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02" w:rsidRPr="00525650" w:rsidRDefault="00220902" w:rsidP="002E2D3D">
      <w:pPr>
        <w:pStyle w:val="NoSpacing"/>
        <w:ind w:firstLine="426"/>
        <w:jc w:val="both"/>
        <w:rPr>
          <w:noProof/>
          <w:sz w:val="22"/>
          <w:szCs w:val="22"/>
          <w:lang w:val="sr-Latn-BA"/>
        </w:rPr>
      </w:pPr>
      <w:bookmarkStart w:id="0" w:name="_GoBack"/>
      <w:bookmarkEnd w:id="0"/>
      <w:r w:rsidRPr="00525650">
        <w:rPr>
          <w:noProof/>
          <w:sz w:val="22"/>
          <w:szCs w:val="22"/>
          <w:lang w:val="sr-Latn-BA"/>
        </w:rPr>
        <w:t xml:space="preserve">На основу члана 15. Закона о Управи за индиректно опорезивање (''Службени гласник БиХ'', број 89/05) и члана 61. став 2. Закона о управи (''Службени гласник БиХ'', </w:t>
      </w:r>
      <w:r w:rsidRPr="00525650">
        <w:rPr>
          <w:rFonts w:eastAsia="Calibri"/>
          <w:noProof/>
          <w:sz w:val="22"/>
          <w:szCs w:val="22"/>
          <w:lang w:val="sr-Latn-BA"/>
        </w:rPr>
        <w:t>бр. 32/02, 102/09 и 72/17</w:t>
      </w:r>
      <w:r w:rsidRPr="00525650">
        <w:rPr>
          <w:noProof/>
          <w:sz w:val="22"/>
          <w:szCs w:val="22"/>
          <w:lang w:val="sr-Latn-BA"/>
        </w:rPr>
        <w:t>), директор Управе за индиректно опорезивање доноси</w:t>
      </w:r>
    </w:p>
    <w:p w:rsidR="00220902" w:rsidRPr="00525650" w:rsidRDefault="00220902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220902" w:rsidRPr="00525650" w:rsidRDefault="00220902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220902" w:rsidRPr="00525650" w:rsidRDefault="00220902" w:rsidP="002E2D3D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220902" w:rsidRPr="00525650" w:rsidRDefault="00220902" w:rsidP="002E2D3D">
      <w:pPr>
        <w:pStyle w:val="NoSpacing"/>
        <w:jc w:val="center"/>
        <w:rPr>
          <w:b/>
          <w:noProof/>
          <w:sz w:val="20"/>
          <w:szCs w:val="20"/>
          <w:lang w:val="sr-Latn-BA"/>
        </w:rPr>
      </w:pPr>
      <w:r w:rsidRPr="00525650">
        <w:rPr>
          <w:b/>
          <w:noProof/>
          <w:sz w:val="20"/>
          <w:szCs w:val="20"/>
          <w:lang w:val="sr-Latn-BA"/>
        </w:rPr>
        <w:t>У П У Т С Т В О</w:t>
      </w:r>
    </w:p>
    <w:p w:rsidR="00220902" w:rsidRPr="00525650" w:rsidRDefault="00220902" w:rsidP="002E2D3D">
      <w:pPr>
        <w:pStyle w:val="NoSpacing"/>
        <w:jc w:val="center"/>
        <w:rPr>
          <w:noProof/>
          <w:sz w:val="20"/>
          <w:szCs w:val="20"/>
          <w:lang w:val="sr-Latn-BA"/>
        </w:rPr>
      </w:pPr>
    </w:p>
    <w:p w:rsidR="00703E69" w:rsidRPr="00525650" w:rsidRDefault="00B54D04" w:rsidP="002E2D3D">
      <w:pPr>
        <w:pStyle w:val="NoSpacing"/>
        <w:jc w:val="center"/>
        <w:rPr>
          <w:b/>
          <w:bCs/>
          <w:noProof/>
          <w:sz w:val="20"/>
          <w:szCs w:val="20"/>
          <w:lang w:val="sr-Latn-BA"/>
        </w:rPr>
      </w:pPr>
      <w:r>
        <w:rPr>
          <w:b/>
          <w:noProof/>
          <w:sz w:val="20"/>
          <w:szCs w:val="20"/>
          <w:lang w:val="sr-Latn-BA"/>
        </w:rPr>
        <w:t xml:space="preserve">О </w:t>
      </w:r>
      <w:r w:rsidR="00703E69" w:rsidRPr="00525650">
        <w:rPr>
          <w:b/>
          <w:noProof/>
          <w:sz w:val="20"/>
          <w:szCs w:val="20"/>
          <w:lang w:val="sr-Latn-BA"/>
        </w:rPr>
        <w:t xml:space="preserve">СТАВЉАЊУ ВАН СНАГЕ УПУТСТВА </w:t>
      </w:r>
      <w:r w:rsidR="00220902" w:rsidRPr="00525650">
        <w:rPr>
          <w:b/>
          <w:noProof/>
          <w:sz w:val="20"/>
          <w:szCs w:val="20"/>
          <w:lang w:val="sr-Latn-BA"/>
        </w:rPr>
        <w:t xml:space="preserve">О </w:t>
      </w:r>
      <w:r w:rsidR="002E2D3D" w:rsidRPr="00525650">
        <w:rPr>
          <w:b/>
          <w:bCs/>
          <w:noProof/>
          <w:sz w:val="20"/>
          <w:szCs w:val="20"/>
          <w:lang w:val="sr-Latn-BA"/>
        </w:rPr>
        <w:t>ОДРЕЂИВА</w:t>
      </w:r>
      <w:r w:rsidR="00115FE9" w:rsidRPr="00525650">
        <w:rPr>
          <w:b/>
          <w:bCs/>
          <w:noProof/>
          <w:sz w:val="20"/>
          <w:szCs w:val="20"/>
          <w:lang w:val="sr-Latn-BA"/>
        </w:rPr>
        <w:t>Њ</w:t>
      </w:r>
      <w:r w:rsidR="002E2D3D" w:rsidRPr="00525650">
        <w:rPr>
          <w:b/>
          <w:bCs/>
          <w:noProof/>
          <w:sz w:val="20"/>
          <w:szCs w:val="20"/>
          <w:lang w:val="sr-Latn-BA"/>
        </w:rPr>
        <w:t>У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="002E2D3D" w:rsidRPr="00525650">
        <w:rPr>
          <w:b/>
          <w:bCs/>
          <w:noProof/>
          <w:sz w:val="20"/>
          <w:szCs w:val="20"/>
          <w:lang w:val="sr-Latn-BA"/>
        </w:rPr>
        <w:t>ЦАРИНСКИХ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="002E2D3D" w:rsidRPr="00525650">
        <w:rPr>
          <w:b/>
          <w:bCs/>
          <w:noProof/>
          <w:sz w:val="20"/>
          <w:szCs w:val="20"/>
          <w:lang w:val="sr-Latn-BA"/>
        </w:rPr>
        <w:t>РЕФЕРАТА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="002E2D3D" w:rsidRPr="00525650">
        <w:rPr>
          <w:b/>
          <w:bCs/>
          <w:noProof/>
          <w:sz w:val="20"/>
          <w:szCs w:val="20"/>
          <w:lang w:val="sr-Latn-BA"/>
        </w:rPr>
        <w:t>НА</w:t>
      </w:r>
    </w:p>
    <w:p w:rsidR="00703E69" w:rsidRPr="00525650" w:rsidRDefault="002E2D3D" w:rsidP="002E2D3D">
      <w:pPr>
        <w:pStyle w:val="NoSpacing"/>
        <w:jc w:val="center"/>
        <w:rPr>
          <w:b/>
          <w:bCs/>
          <w:noProof/>
          <w:sz w:val="20"/>
          <w:szCs w:val="20"/>
          <w:lang w:val="sr-Latn-BA"/>
        </w:rPr>
      </w:pPr>
      <w:r w:rsidRPr="00525650">
        <w:rPr>
          <w:b/>
          <w:bCs/>
          <w:noProof/>
          <w:sz w:val="20"/>
          <w:szCs w:val="20"/>
          <w:lang w:val="sr-Latn-BA"/>
        </w:rPr>
        <w:t>ГРАНИЧНИМ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ПРЕЛАЗИМА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У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КОЈИМА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СЕ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МОЖЕ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ПРОВОДИТИ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ЦАРИНСКИ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ПОСТУПАК</w:t>
      </w:r>
    </w:p>
    <w:p w:rsidR="00220902" w:rsidRPr="00525650" w:rsidRDefault="002E2D3D" w:rsidP="002E2D3D">
      <w:pPr>
        <w:pStyle w:val="NoSpacing"/>
        <w:jc w:val="center"/>
        <w:rPr>
          <w:b/>
          <w:noProof/>
          <w:sz w:val="20"/>
          <w:szCs w:val="20"/>
          <w:lang w:val="sr-Latn-BA"/>
        </w:rPr>
      </w:pPr>
      <w:r w:rsidRPr="00525650">
        <w:rPr>
          <w:b/>
          <w:bCs/>
          <w:noProof/>
          <w:sz w:val="20"/>
          <w:szCs w:val="20"/>
          <w:lang w:val="sr-Latn-BA"/>
        </w:rPr>
        <w:t>СТАВ</w:t>
      </w:r>
      <w:r w:rsidR="00115FE9" w:rsidRPr="00525650">
        <w:rPr>
          <w:b/>
          <w:bCs/>
          <w:noProof/>
          <w:sz w:val="20"/>
          <w:szCs w:val="20"/>
          <w:lang w:val="sr-Latn-BA"/>
        </w:rPr>
        <w:t>Љ</w:t>
      </w:r>
      <w:r w:rsidRPr="00525650">
        <w:rPr>
          <w:b/>
          <w:bCs/>
          <w:noProof/>
          <w:sz w:val="20"/>
          <w:szCs w:val="20"/>
          <w:lang w:val="sr-Latn-BA"/>
        </w:rPr>
        <w:t>А</w:t>
      </w:r>
      <w:r w:rsidR="00115FE9" w:rsidRPr="00525650">
        <w:rPr>
          <w:b/>
          <w:bCs/>
          <w:noProof/>
          <w:sz w:val="20"/>
          <w:szCs w:val="20"/>
          <w:lang w:val="sr-Latn-BA"/>
        </w:rPr>
        <w:t>Њ</w:t>
      </w:r>
      <w:r w:rsidRPr="00525650">
        <w:rPr>
          <w:b/>
          <w:bCs/>
          <w:noProof/>
          <w:sz w:val="20"/>
          <w:szCs w:val="20"/>
          <w:lang w:val="sr-Latn-BA"/>
        </w:rPr>
        <w:t>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РОБЕ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У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СЛОБОДАН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ПРОМЕТ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, </w:t>
      </w:r>
      <w:r w:rsidRPr="00525650">
        <w:rPr>
          <w:b/>
          <w:bCs/>
          <w:noProof/>
          <w:sz w:val="20"/>
          <w:szCs w:val="20"/>
          <w:lang w:val="sr-Latn-BA"/>
        </w:rPr>
        <w:t>ВРСТЕ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РОБА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И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НАЧИН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ПРОВОЂЕ</w:t>
      </w:r>
      <w:r w:rsidR="00115FE9" w:rsidRPr="00525650">
        <w:rPr>
          <w:b/>
          <w:bCs/>
          <w:noProof/>
          <w:sz w:val="20"/>
          <w:szCs w:val="20"/>
          <w:lang w:val="sr-Latn-BA"/>
        </w:rPr>
        <w:t>Њ</w:t>
      </w:r>
      <w:r w:rsidRPr="00525650">
        <w:rPr>
          <w:b/>
          <w:bCs/>
          <w:noProof/>
          <w:sz w:val="20"/>
          <w:szCs w:val="20"/>
          <w:lang w:val="sr-Latn-BA"/>
        </w:rPr>
        <w:t>А</w:t>
      </w:r>
      <w:r w:rsidR="00703E69" w:rsidRPr="00525650">
        <w:rPr>
          <w:b/>
          <w:bCs/>
          <w:noProof/>
          <w:sz w:val="20"/>
          <w:szCs w:val="20"/>
          <w:lang w:val="sr-Latn-BA"/>
        </w:rPr>
        <w:t xml:space="preserve"> </w:t>
      </w:r>
      <w:r w:rsidRPr="00525650">
        <w:rPr>
          <w:b/>
          <w:bCs/>
          <w:noProof/>
          <w:sz w:val="20"/>
          <w:szCs w:val="20"/>
          <w:lang w:val="sr-Latn-BA"/>
        </w:rPr>
        <w:t>ПОСТУПКА</w:t>
      </w:r>
    </w:p>
    <w:p w:rsidR="00220902" w:rsidRPr="00525650" w:rsidRDefault="00220902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220902" w:rsidRPr="00525650" w:rsidRDefault="00220902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220902" w:rsidRPr="00525650" w:rsidRDefault="00220902" w:rsidP="002E2D3D">
      <w:pPr>
        <w:pStyle w:val="NoSpacing"/>
        <w:jc w:val="both"/>
        <w:rPr>
          <w:bCs/>
          <w:noProof/>
          <w:sz w:val="22"/>
          <w:szCs w:val="22"/>
          <w:lang w:val="sr-Latn-BA"/>
        </w:rPr>
      </w:pPr>
    </w:p>
    <w:p w:rsidR="00EB7436" w:rsidRPr="00525650" w:rsidRDefault="00EB7436" w:rsidP="002E2D3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525650">
        <w:rPr>
          <w:noProof/>
          <w:sz w:val="22"/>
          <w:szCs w:val="22"/>
          <w:lang w:val="sr-Latn-BA"/>
        </w:rPr>
        <w:t>Члан 1.</w:t>
      </w:r>
    </w:p>
    <w:p w:rsidR="00EB7436" w:rsidRPr="00525650" w:rsidRDefault="00EB7436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B7436" w:rsidRPr="00525650" w:rsidRDefault="00EB7436" w:rsidP="002E2D3D">
      <w:pPr>
        <w:pStyle w:val="NoSpacing"/>
        <w:ind w:firstLine="426"/>
        <w:jc w:val="both"/>
        <w:rPr>
          <w:noProof/>
          <w:sz w:val="22"/>
          <w:szCs w:val="22"/>
          <w:lang w:val="sr-Latn-BA"/>
        </w:rPr>
      </w:pPr>
      <w:r w:rsidRPr="00525650">
        <w:rPr>
          <w:noProof/>
          <w:sz w:val="22"/>
          <w:szCs w:val="22"/>
          <w:lang w:val="sr-Latn-BA"/>
        </w:rPr>
        <w:t xml:space="preserve">Ставља се ван снаге </w:t>
      </w:r>
      <w:r w:rsidR="002E2D3D" w:rsidRPr="00525650">
        <w:rPr>
          <w:noProof/>
          <w:sz w:val="22"/>
          <w:szCs w:val="22"/>
          <w:lang w:val="sr-Latn-BA"/>
        </w:rPr>
        <w:t>Упутство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о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одређивању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царинских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реферата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на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граничним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прелазима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у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којима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се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може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проводити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царински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поступак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стављања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робе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у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слободан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промет</w:t>
      </w:r>
      <w:r w:rsidRPr="00525650">
        <w:rPr>
          <w:noProof/>
          <w:sz w:val="22"/>
          <w:szCs w:val="22"/>
          <w:lang w:val="sr-Latn-BA"/>
        </w:rPr>
        <w:t xml:space="preserve">, </w:t>
      </w:r>
      <w:r w:rsidR="002E2D3D" w:rsidRPr="00525650">
        <w:rPr>
          <w:noProof/>
          <w:sz w:val="22"/>
          <w:szCs w:val="22"/>
          <w:lang w:val="sr-Latn-BA"/>
        </w:rPr>
        <w:t>врсте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роба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и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начин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провођења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поступка</w:t>
      </w:r>
      <w:r w:rsidRPr="00525650">
        <w:rPr>
          <w:noProof/>
          <w:sz w:val="22"/>
          <w:szCs w:val="22"/>
          <w:lang w:val="sr-Latn-BA"/>
        </w:rPr>
        <w:t xml:space="preserve"> (''</w:t>
      </w:r>
      <w:r w:rsidR="002E2D3D" w:rsidRPr="00525650">
        <w:rPr>
          <w:noProof/>
          <w:sz w:val="22"/>
          <w:szCs w:val="22"/>
          <w:lang w:val="sr-Latn-BA"/>
        </w:rPr>
        <w:t>Службени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гласник</w:t>
      </w:r>
      <w:r w:rsidRPr="00525650">
        <w:rPr>
          <w:noProof/>
          <w:sz w:val="22"/>
          <w:szCs w:val="22"/>
          <w:lang w:val="sr-Latn-BA"/>
        </w:rPr>
        <w:t xml:space="preserve"> </w:t>
      </w:r>
      <w:r w:rsidR="002E2D3D" w:rsidRPr="00525650">
        <w:rPr>
          <w:noProof/>
          <w:sz w:val="22"/>
          <w:szCs w:val="22"/>
          <w:lang w:val="sr-Latn-BA"/>
        </w:rPr>
        <w:t>БиХ</w:t>
      </w:r>
      <w:r w:rsidRPr="00525650">
        <w:rPr>
          <w:noProof/>
          <w:sz w:val="22"/>
          <w:szCs w:val="22"/>
          <w:lang w:val="sr-Latn-BA"/>
        </w:rPr>
        <w:t xml:space="preserve">'', </w:t>
      </w:r>
      <w:r w:rsidR="002E2D3D" w:rsidRPr="00525650">
        <w:rPr>
          <w:noProof/>
          <w:sz w:val="22"/>
          <w:szCs w:val="22"/>
          <w:lang w:val="sr-Latn-BA"/>
        </w:rPr>
        <w:t>бр</w:t>
      </w:r>
      <w:r w:rsidRPr="00525650">
        <w:rPr>
          <w:noProof/>
          <w:sz w:val="22"/>
          <w:szCs w:val="22"/>
          <w:lang w:val="sr-Latn-BA"/>
        </w:rPr>
        <w:t xml:space="preserve">. 104/06, 3/11 </w:t>
      </w:r>
      <w:r w:rsidR="002E2D3D" w:rsidRPr="00525650">
        <w:rPr>
          <w:noProof/>
          <w:sz w:val="22"/>
          <w:szCs w:val="22"/>
          <w:lang w:val="sr-Latn-BA"/>
        </w:rPr>
        <w:t>и</w:t>
      </w:r>
      <w:r w:rsidRPr="00525650">
        <w:rPr>
          <w:noProof/>
          <w:sz w:val="22"/>
          <w:szCs w:val="22"/>
          <w:lang w:val="sr-Latn-BA"/>
        </w:rPr>
        <w:t xml:space="preserve"> 10/15).</w:t>
      </w:r>
    </w:p>
    <w:p w:rsidR="00EB7436" w:rsidRPr="00525650" w:rsidRDefault="00EB7436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EB7436" w:rsidRPr="00525650" w:rsidRDefault="00EB7436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jc w:val="center"/>
        <w:rPr>
          <w:noProof/>
          <w:sz w:val="22"/>
          <w:szCs w:val="22"/>
          <w:lang w:val="sr-Latn-BA"/>
        </w:rPr>
      </w:pPr>
      <w:r w:rsidRPr="006E22AE">
        <w:rPr>
          <w:noProof/>
          <w:sz w:val="22"/>
          <w:szCs w:val="22"/>
          <w:lang w:val="sr-Latn-BA"/>
        </w:rPr>
        <w:t>Члан 2.</w:t>
      </w:r>
    </w:p>
    <w:p w:rsidR="00B90289" w:rsidRPr="006E22AE" w:rsidRDefault="00B90289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ind w:firstLine="426"/>
        <w:jc w:val="both"/>
        <w:rPr>
          <w:noProof/>
          <w:sz w:val="22"/>
          <w:szCs w:val="22"/>
          <w:lang w:val="sr-Latn-BA"/>
        </w:rPr>
      </w:pPr>
      <w:r w:rsidRPr="006E22AE">
        <w:rPr>
          <w:noProof/>
          <w:sz w:val="22"/>
          <w:szCs w:val="22"/>
          <w:lang w:val="sr-Latn-BA"/>
        </w:rPr>
        <w:t>Ово упутство ступа на снагу осмог дана од дана објављивања у ''Службеном гласнику БиХ''.</w:t>
      </w:r>
    </w:p>
    <w:p w:rsidR="00B90289" w:rsidRPr="006E22AE" w:rsidRDefault="00B90289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90289" w:rsidRPr="00B54D04" w:rsidRDefault="00B90289" w:rsidP="002E2D3D">
      <w:pPr>
        <w:pStyle w:val="NoSpacing"/>
        <w:jc w:val="both"/>
        <w:rPr>
          <w:noProof/>
          <w:color w:val="FFFFFF"/>
          <w:sz w:val="20"/>
          <w:szCs w:val="20"/>
          <w:lang w:val="sr-Latn-BA"/>
        </w:rPr>
      </w:pPr>
      <w:r w:rsidRPr="00B54D04">
        <w:rPr>
          <w:noProof/>
          <w:color w:val="FFFFFF"/>
          <w:sz w:val="20"/>
          <w:szCs w:val="20"/>
          <w:u w:val="single"/>
          <w:lang w:val="sr-Latn-BA"/>
        </w:rPr>
        <w:t>Миљка Кутић, израдила приједлог Упутства</w:t>
      </w:r>
      <w:r w:rsidRPr="00B54D04">
        <w:rPr>
          <w:noProof/>
          <w:color w:val="FFFFFF"/>
          <w:sz w:val="20"/>
          <w:szCs w:val="20"/>
          <w:lang w:val="sr-Latn-BA"/>
        </w:rPr>
        <w:t>_____________</w:t>
      </w:r>
    </w:p>
    <w:p w:rsidR="00B90289" w:rsidRPr="00B54D04" w:rsidRDefault="00B90289" w:rsidP="002E2D3D">
      <w:pPr>
        <w:pStyle w:val="NoSpacing"/>
        <w:jc w:val="both"/>
        <w:rPr>
          <w:noProof/>
          <w:color w:val="FFFFFF"/>
          <w:sz w:val="20"/>
          <w:szCs w:val="20"/>
          <w:lang w:val="sr-Latn-BA"/>
        </w:rPr>
      </w:pPr>
      <w:r w:rsidRPr="00B54D04">
        <w:rPr>
          <w:noProof/>
          <w:color w:val="FFFFFF"/>
          <w:sz w:val="20"/>
          <w:szCs w:val="20"/>
          <w:lang w:val="sr-Latn-BA"/>
        </w:rPr>
        <w:t>Име и презиме и параф шефа Одсјека за царинске поступке</w:t>
      </w:r>
    </w:p>
    <w:p w:rsidR="00B90289" w:rsidRPr="00B54D04" w:rsidRDefault="00B90289" w:rsidP="002E2D3D">
      <w:pPr>
        <w:pStyle w:val="NoSpacing"/>
        <w:jc w:val="both"/>
        <w:rPr>
          <w:noProof/>
          <w:color w:val="FFFFFF"/>
          <w:sz w:val="20"/>
          <w:szCs w:val="20"/>
          <w:lang w:val="sr-Latn-BA"/>
        </w:rPr>
      </w:pPr>
    </w:p>
    <w:p w:rsidR="00B90289" w:rsidRPr="00B54D04" w:rsidRDefault="00B90289" w:rsidP="002E2D3D">
      <w:pPr>
        <w:pStyle w:val="NoSpacing"/>
        <w:jc w:val="both"/>
        <w:rPr>
          <w:rFonts w:eastAsia="Calibri"/>
          <w:noProof/>
          <w:color w:val="FFFFFF"/>
          <w:sz w:val="20"/>
          <w:szCs w:val="20"/>
          <w:lang w:val="sr-Latn-BA"/>
        </w:rPr>
      </w:pPr>
      <w:r w:rsidRPr="00B54D04">
        <w:rPr>
          <w:rFonts w:eastAsia="Calibri"/>
          <w:noProof/>
          <w:color w:val="FFFFFF"/>
          <w:sz w:val="20"/>
          <w:szCs w:val="20"/>
          <w:u w:val="single"/>
          <w:lang w:val="sr-Latn-BA"/>
        </w:rPr>
        <w:t>Владимир Драгичевић</w:t>
      </w:r>
      <w:r w:rsidRPr="00B54D04">
        <w:rPr>
          <w:rFonts w:eastAsia="Calibri"/>
          <w:noProof/>
          <w:color w:val="FFFFFF"/>
          <w:sz w:val="20"/>
          <w:szCs w:val="20"/>
          <w:lang w:val="sr-Latn-BA"/>
        </w:rPr>
        <w:t>_____________________________________</w:t>
      </w:r>
    </w:p>
    <w:p w:rsidR="00B90289" w:rsidRPr="00B54D04" w:rsidRDefault="00B90289" w:rsidP="002E2D3D">
      <w:pPr>
        <w:pStyle w:val="NoSpacing"/>
        <w:jc w:val="both"/>
        <w:rPr>
          <w:rFonts w:eastAsia="Calibri"/>
          <w:noProof/>
          <w:color w:val="FFFFFF"/>
          <w:sz w:val="20"/>
          <w:szCs w:val="20"/>
          <w:lang w:val="sr-Latn-BA"/>
        </w:rPr>
      </w:pPr>
      <w:r w:rsidRPr="00B54D04">
        <w:rPr>
          <w:rFonts w:eastAsia="Calibri"/>
          <w:noProof/>
          <w:color w:val="FFFFFF"/>
          <w:sz w:val="20"/>
          <w:szCs w:val="20"/>
          <w:lang w:val="sr-Latn-BA"/>
        </w:rPr>
        <w:t>Име и презиме и параф помоћника директора за Сектор за царине</w:t>
      </w:r>
    </w:p>
    <w:p w:rsidR="00B90289" w:rsidRPr="00B54D04" w:rsidRDefault="00B90289" w:rsidP="002E2D3D">
      <w:pPr>
        <w:pStyle w:val="NoSpacing"/>
        <w:jc w:val="both"/>
        <w:rPr>
          <w:noProof/>
          <w:color w:val="FFFFFF"/>
          <w:sz w:val="20"/>
          <w:szCs w:val="20"/>
          <w:lang w:val="sr-Latn-BA"/>
        </w:rPr>
      </w:pPr>
    </w:p>
    <w:p w:rsidR="00B90289" w:rsidRPr="00B54D04" w:rsidRDefault="00B90289" w:rsidP="002E2D3D">
      <w:pPr>
        <w:pStyle w:val="NoSpacing"/>
        <w:jc w:val="both"/>
        <w:rPr>
          <w:noProof/>
          <w:color w:val="FFFFFF"/>
          <w:sz w:val="20"/>
          <w:szCs w:val="20"/>
          <w:lang w:val="sr-Latn-BA"/>
        </w:rPr>
      </w:pPr>
      <w:r w:rsidRPr="00B54D04">
        <w:rPr>
          <w:noProof/>
          <w:color w:val="FFFFFF"/>
          <w:sz w:val="20"/>
          <w:szCs w:val="20"/>
          <w:lang w:val="sr-Latn-BA"/>
        </w:rPr>
        <w:t>Овај примјерак Упутства је за Кабинет директора.</w:t>
      </w:r>
    </w:p>
    <w:p w:rsidR="00B90289" w:rsidRPr="006E22AE" w:rsidRDefault="00B90289" w:rsidP="002E2D3D">
      <w:pPr>
        <w:pStyle w:val="NoSpacing"/>
        <w:jc w:val="both"/>
        <w:rPr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jc w:val="both"/>
        <w:rPr>
          <w:rFonts w:eastAsia="Calibri"/>
          <w:b/>
          <w:noProof/>
          <w:sz w:val="22"/>
          <w:szCs w:val="22"/>
          <w:lang w:val="sr-Latn-BA"/>
        </w:rPr>
      </w:pPr>
      <w:r w:rsidRPr="006E22AE">
        <w:rPr>
          <w:rFonts w:eastAsia="Calibri"/>
          <w:noProof/>
          <w:sz w:val="22"/>
          <w:szCs w:val="22"/>
          <w:lang w:val="sr-Latn-BA"/>
        </w:rPr>
        <w:t xml:space="preserve">                                                                                                                      </w:t>
      </w:r>
      <w:r w:rsidRPr="006E22AE">
        <w:rPr>
          <w:rFonts w:eastAsia="Calibri"/>
          <w:b/>
          <w:noProof/>
          <w:sz w:val="22"/>
          <w:szCs w:val="22"/>
          <w:lang w:val="sr-Latn-BA"/>
        </w:rPr>
        <w:t>Д И Р Е К Т О Р</w:t>
      </w:r>
    </w:p>
    <w:p w:rsidR="00B90289" w:rsidRPr="006E22AE" w:rsidRDefault="00B90289" w:rsidP="002E2D3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B90289" w:rsidRPr="006E22AE" w:rsidRDefault="00D667B2" w:rsidP="002E2D3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>
        <w:rPr>
          <w:rFonts w:eastAsia="Calibri"/>
          <w:noProof/>
          <w:sz w:val="22"/>
          <w:szCs w:val="22"/>
          <w:lang w:val="sr-Latn-BA"/>
        </w:rPr>
        <w:t>Број: 01-02-2-</w:t>
      </w:r>
      <w:r w:rsidR="00B90289" w:rsidRPr="006E22AE">
        <w:rPr>
          <w:rFonts w:eastAsia="Calibri"/>
          <w:noProof/>
          <w:sz w:val="22"/>
          <w:szCs w:val="22"/>
          <w:lang w:val="sr-Latn-BA"/>
        </w:rPr>
        <w:t xml:space="preserve"> _</w:t>
      </w:r>
      <w:r>
        <w:rPr>
          <w:rFonts w:eastAsia="Calibri"/>
          <w:noProof/>
          <w:sz w:val="22"/>
          <w:szCs w:val="22"/>
          <w:lang w:val="sr-Latn-BA"/>
        </w:rPr>
        <w:t>____</w:t>
      </w:r>
      <w:r w:rsidR="00B90289" w:rsidRPr="006E22AE">
        <w:rPr>
          <w:rFonts w:eastAsia="Calibri"/>
          <w:noProof/>
          <w:sz w:val="22"/>
          <w:szCs w:val="22"/>
          <w:lang w:val="sr-Latn-BA"/>
        </w:rPr>
        <w:t>________ /25</w:t>
      </w:r>
    </w:p>
    <w:p w:rsidR="00B90289" w:rsidRPr="006E22AE" w:rsidRDefault="00B90289" w:rsidP="002E2D3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  <w:r w:rsidRPr="006E22AE">
        <w:rPr>
          <w:rFonts w:eastAsia="Calibri"/>
          <w:noProof/>
          <w:sz w:val="22"/>
          <w:szCs w:val="22"/>
          <w:lang w:val="sr-Latn-BA"/>
        </w:rPr>
        <w:t xml:space="preserve">Бања Лука, _______ 2025. године                                                         </w:t>
      </w:r>
      <w:r w:rsidRPr="006E22AE">
        <w:rPr>
          <w:rFonts w:eastAsia="Calibri"/>
          <w:b/>
          <w:noProof/>
          <w:sz w:val="22"/>
          <w:szCs w:val="22"/>
          <w:lang w:val="sr-Latn-BA"/>
        </w:rPr>
        <w:t>Др  Зоран Тегелтија</w:t>
      </w:r>
    </w:p>
    <w:p w:rsidR="00B90289" w:rsidRPr="006E22AE" w:rsidRDefault="00B90289" w:rsidP="002E2D3D">
      <w:pPr>
        <w:pStyle w:val="NoSpacing"/>
        <w:jc w:val="both"/>
        <w:rPr>
          <w:rFonts w:eastAsia="Calibri"/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B90289" w:rsidRPr="006E22AE" w:rsidRDefault="00B90289" w:rsidP="002E2D3D">
      <w:pPr>
        <w:pStyle w:val="NoSpacing"/>
        <w:jc w:val="both"/>
        <w:rPr>
          <w:b/>
          <w:noProof/>
          <w:sz w:val="22"/>
          <w:szCs w:val="22"/>
          <w:lang w:val="sr-Latn-BA"/>
        </w:rPr>
      </w:pPr>
    </w:p>
    <w:p w:rsidR="00791ACA" w:rsidRPr="006E22AE" w:rsidRDefault="00791ACA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791ACA" w:rsidRPr="006E22AE" w:rsidRDefault="00791ACA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791ACA" w:rsidRPr="006E22AE" w:rsidRDefault="00791ACA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791ACA" w:rsidRPr="006E22AE" w:rsidRDefault="00791ACA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791ACA" w:rsidRPr="006E22AE" w:rsidRDefault="00791ACA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B54D04" w:rsidRPr="006E22AE" w:rsidRDefault="00B54D04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6E22AE" w:rsidRDefault="00115FE9" w:rsidP="002E2D3D">
      <w:pPr>
        <w:pStyle w:val="NoSpacing"/>
        <w:jc w:val="both"/>
        <w:rPr>
          <w:b/>
          <w:bCs/>
          <w:noProof/>
          <w:sz w:val="22"/>
          <w:szCs w:val="22"/>
          <w:lang w:val="sr-Latn-BA"/>
        </w:rPr>
      </w:pPr>
    </w:p>
    <w:p w:rsidR="00115FE9" w:rsidRPr="00B54D04" w:rsidRDefault="00115FE9" w:rsidP="00115FE9">
      <w:pPr>
        <w:pStyle w:val="NoSpacing"/>
        <w:jc w:val="center"/>
        <w:rPr>
          <w:b/>
          <w:bCs/>
          <w:noProof/>
          <w:sz w:val="22"/>
          <w:szCs w:val="22"/>
          <w:lang w:val="sr-Latn-BA"/>
        </w:rPr>
      </w:pPr>
      <w:r w:rsidRPr="006E22AE">
        <w:rPr>
          <w:b/>
          <w:bCs/>
          <w:noProof/>
          <w:sz w:val="22"/>
          <w:szCs w:val="22"/>
          <w:lang w:val="sr-Latn-BA"/>
        </w:rPr>
        <w:lastRenderedPageBreak/>
        <w:t xml:space="preserve">O б р </w:t>
      </w:r>
      <w:r w:rsidRPr="00B54D04">
        <w:rPr>
          <w:b/>
          <w:bCs/>
          <w:noProof/>
          <w:sz w:val="22"/>
          <w:szCs w:val="22"/>
          <w:lang w:val="sr-Latn-BA"/>
        </w:rPr>
        <w:t>а з л о ж е њ</w:t>
      </w:r>
      <w:r w:rsidR="006E22AE" w:rsidRPr="00B54D04">
        <w:rPr>
          <w:b/>
          <w:bCs/>
          <w:noProof/>
          <w:sz w:val="22"/>
          <w:szCs w:val="22"/>
          <w:lang w:val="sr-Cyrl-BA"/>
        </w:rPr>
        <w:t xml:space="preserve"> </w:t>
      </w:r>
      <w:r w:rsidRPr="00B54D04">
        <w:rPr>
          <w:b/>
          <w:bCs/>
          <w:noProof/>
          <w:sz w:val="22"/>
          <w:szCs w:val="22"/>
          <w:lang w:val="sr-Latn-BA"/>
        </w:rPr>
        <w:t>е</w:t>
      </w:r>
    </w:p>
    <w:p w:rsidR="00115FE9" w:rsidRPr="00B54D04" w:rsidRDefault="00115FE9" w:rsidP="00115FE9">
      <w:pPr>
        <w:pStyle w:val="NoSpacing"/>
        <w:jc w:val="center"/>
        <w:rPr>
          <w:b/>
          <w:bCs/>
          <w:noProof/>
          <w:sz w:val="22"/>
          <w:szCs w:val="22"/>
          <w:lang w:val="sr-Latn-BA"/>
        </w:rPr>
      </w:pPr>
    </w:p>
    <w:p w:rsidR="00115FE9" w:rsidRPr="00B54D04" w:rsidRDefault="00B54D04" w:rsidP="00115FE9">
      <w:pPr>
        <w:pStyle w:val="NoSpacing"/>
        <w:jc w:val="center"/>
        <w:rPr>
          <w:b/>
          <w:bCs/>
          <w:noProof/>
          <w:sz w:val="22"/>
          <w:szCs w:val="22"/>
          <w:lang w:val="sr-Latn-BA"/>
        </w:rPr>
      </w:pPr>
      <w:r w:rsidRPr="00B54D04">
        <w:rPr>
          <w:b/>
          <w:bCs/>
          <w:noProof/>
          <w:sz w:val="22"/>
          <w:szCs w:val="22"/>
          <w:lang w:val="sr-Latn-BA"/>
        </w:rPr>
        <w:t xml:space="preserve">уз преднацрт </w:t>
      </w:r>
      <w:r w:rsidR="00115FE9" w:rsidRPr="00B54D04">
        <w:rPr>
          <w:b/>
          <w:bCs/>
          <w:noProof/>
          <w:sz w:val="22"/>
          <w:szCs w:val="22"/>
          <w:lang w:val="sr-Latn-BA"/>
        </w:rPr>
        <w:t xml:space="preserve">Упутства о стављању ван снаге Упутства о одређивању царинских </w:t>
      </w:r>
    </w:p>
    <w:p w:rsidR="00115FE9" w:rsidRPr="00B54D04" w:rsidRDefault="00115FE9" w:rsidP="00115FE9">
      <w:pPr>
        <w:pStyle w:val="NoSpacing"/>
        <w:jc w:val="center"/>
        <w:rPr>
          <w:b/>
          <w:bCs/>
          <w:noProof/>
          <w:sz w:val="22"/>
          <w:szCs w:val="22"/>
          <w:lang w:val="sr-Latn-BA"/>
        </w:rPr>
      </w:pPr>
      <w:r w:rsidRPr="00B54D04">
        <w:rPr>
          <w:b/>
          <w:bCs/>
          <w:noProof/>
          <w:sz w:val="22"/>
          <w:szCs w:val="22"/>
          <w:lang w:val="sr-Latn-BA"/>
        </w:rPr>
        <w:t xml:space="preserve">реферата на граничним прелазима у којима се може проводити царински поступак </w:t>
      </w:r>
    </w:p>
    <w:p w:rsidR="00115FE9" w:rsidRPr="00B54D04" w:rsidRDefault="00115FE9" w:rsidP="00115FE9">
      <w:pPr>
        <w:pStyle w:val="NoSpacing"/>
        <w:jc w:val="center"/>
        <w:rPr>
          <w:b/>
          <w:bCs/>
          <w:noProof/>
          <w:sz w:val="22"/>
          <w:szCs w:val="22"/>
          <w:lang w:val="sr-Latn-BA"/>
        </w:rPr>
      </w:pPr>
      <w:r w:rsidRPr="00B54D04">
        <w:rPr>
          <w:b/>
          <w:bCs/>
          <w:noProof/>
          <w:sz w:val="22"/>
          <w:szCs w:val="22"/>
          <w:lang w:val="sr-Latn-BA"/>
        </w:rPr>
        <w:t>стављања робе у слободан промет, врсте роба и начин провођења поступка</w:t>
      </w:r>
    </w:p>
    <w:p w:rsidR="00791ACA" w:rsidRPr="00B54D04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p w:rsidR="00791ACA" w:rsidRPr="00B54D04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p w:rsidR="00791ACA" w:rsidRPr="00B54D04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p w:rsidR="00954C12" w:rsidRPr="00B54D04" w:rsidRDefault="00954C12" w:rsidP="00954C12">
      <w:pPr>
        <w:jc w:val="both"/>
        <w:rPr>
          <w:rFonts w:eastAsia="Calibri"/>
          <w:b/>
          <w:noProof/>
          <w:sz w:val="22"/>
          <w:szCs w:val="22"/>
          <w:lang w:val="sr-Latn-BA"/>
        </w:rPr>
      </w:pPr>
      <w:r w:rsidRPr="00B54D04">
        <w:rPr>
          <w:rFonts w:eastAsia="Calibri"/>
          <w:b/>
          <w:noProof/>
          <w:sz w:val="22"/>
          <w:szCs w:val="22"/>
          <w:lang w:val="sr-Latn-BA"/>
        </w:rPr>
        <w:t>Правни основ и разлози за доношење</w:t>
      </w:r>
    </w:p>
    <w:p w:rsidR="00954C12" w:rsidRPr="00B54D04" w:rsidRDefault="00954C12" w:rsidP="00954C12">
      <w:pPr>
        <w:jc w:val="both"/>
        <w:rPr>
          <w:rFonts w:eastAsia="Calibri"/>
          <w:noProof/>
          <w:sz w:val="22"/>
          <w:szCs w:val="22"/>
          <w:lang w:val="sr-Latn-BA"/>
        </w:rPr>
      </w:pPr>
    </w:p>
    <w:p w:rsidR="00954C12" w:rsidRPr="00B54D04" w:rsidRDefault="00954C12" w:rsidP="0057785E">
      <w:pPr>
        <w:pStyle w:val="NoSpacing"/>
        <w:jc w:val="both"/>
        <w:rPr>
          <w:rStyle w:val="SubtleEmphasis"/>
          <w:i w:val="0"/>
          <w:noProof/>
          <w:color w:val="auto"/>
          <w:sz w:val="22"/>
          <w:szCs w:val="22"/>
          <w:lang w:val="sr-Latn-BA"/>
        </w:rPr>
      </w:pPr>
      <w:r w:rsidRPr="00B54D04">
        <w:rPr>
          <w:rStyle w:val="SubtleEmphasis"/>
          <w:rFonts w:eastAsia="Calibri"/>
          <w:i w:val="0"/>
          <w:noProof/>
          <w:color w:val="auto"/>
          <w:sz w:val="22"/>
          <w:szCs w:val="22"/>
          <w:lang w:val="sr-Latn-BA"/>
        </w:rPr>
        <w:t xml:space="preserve">Правни основ и надлежност Управе за индиректно опорезивање за доношење </w:t>
      </w:r>
      <w:r w:rsidR="0057785E" w:rsidRPr="00B54D04">
        <w:rPr>
          <w:rStyle w:val="SubtleEmphasis"/>
          <w:i w:val="0"/>
          <w:noProof/>
          <w:color w:val="auto"/>
          <w:sz w:val="22"/>
          <w:szCs w:val="22"/>
          <w:lang w:val="sr-Latn-BA"/>
        </w:rPr>
        <w:t xml:space="preserve">Упутства о стављању ван снаге Упутства о одређивању царинских реферата на граничним прелазима у којима се може проводити царински поступак стављања робе у слободан промет, врсте роба и начин провођења поступка </w:t>
      </w:r>
      <w:r w:rsidRPr="00B54D04">
        <w:rPr>
          <w:rStyle w:val="SubtleEmphasis"/>
          <w:rFonts w:eastAsia="Calibri"/>
          <w:i w:val="0"/>
          <w:noProof/>
          <w:color w:val="auto"/>
          <w:sz w:val="22"/>
          <w:szCs w:val="22"/>
          <w:lang w:val="sr-Latn-BA"/>
        </w:rPr>
        <w:t xml:space="preserve">произилази из </w:t>
      </w:r>
      <w:r w:rsidRPr="00B54D04">
        <w:rPr>
          <w:rStyle w:val="SubtleEmphasis"/>
          <w:i w:val="0"/>
          <w:noProof/>
          <w:color w:val="auto"/>
          <w:sz w:val="22"/>
          <w:szCs w:val="22"/>
          <w:lang w:val="sr-Latn-BA"/>
        </w:rPr>
        <w:t xml:space="preserve">члана </w:t>
      </w:r>
      <w:r w:rsidRPr="00B54D04">
        <w:rPr>
          <w:rStyle w:val="SubtleEmphasis"/>
          <w:rFonts w:eastAsia="Calibri"/>
          <w:i w:val="0"/>
          <w:noProof/>
          <w:color w:val="auto"/>
          <w:sz w:val="22"/>
          <w:szCs w:val="22"/>
          <w:lang w:val="sr-Latn-BA"/>
        </w:rPr>
        <w:t>15. Закона о Управи за индиректно опорезивање ("Службени гласник БиХ", број 89/05) и члана 61. став 2. Закона о управи ("Службени гласник БиХ", бр. 32/02, 102/09 и 72/17).</w:t>
      </w:r>
    </w:p>
    <w:p w:rsidR="0057785E" w:rsidRPr="00B54D04" w:rsidRDefault="0057785E" w:rsidP="0057785E">
      <w:pPr>
        <w:tabs>
          <w:tab w:val="left" w:pos="720"/>
          <w:tab w:val="center" w:pos="4536"/>
          <w:tab w:val="right" w:pos="9072"/>
        </w:tabs>
        <w:jc w:val="both"/>
        <w:rPr>
          <w:rStyle w:val="SubtleEmphasis"/>
          <w:i w:val="0"/>
          <w:noProof/>
          <w:color w:val="auto"/>
          <w:sz w:val="22"/>
          <w:szCs w:val="22"/>
          <w:lang w:val="sr-Latn-BA"/>
        </w:rPr>
      </w:pPr>
    </w:p>
    <w:p w:rsidR="0057785E" w:rsidRPr="00B54D04" w:rsidRDefault="00AC2723" w:rsidP="0057785E">
      <w:pPr>
        <w:tabs>
          <w:tab w:val="left" w:pos="720"/>
          <w:tab w:val="center" w:pos="4536"/>
          <w:tab w:val="right" w:pos="9072"/>
        </w:tabs>
        <w:jc w:val="both"/>
        <w:rPr>
          <w:noProof/>
          <w:sz w:val="22"/>
          <w:szCs w:val="22"/>
          <w:lang w:val="sr-Cyrl-BA"/>
        </w:rPr>
      </w:pPr>
      <w:r w:rsidRPr="00B54D04">
        <w:rPr>
          <w:noProof/>
          <w:sz w:val="22"/>
          <w:szCs w:val="22"/>
          <w:lang w:val="sr-Latn-BA"/>
        </w:rPr>
        <w:t>Управа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за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индиректно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опорезивање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донијела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је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Упутство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о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одређивању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царинских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реферата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на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граничним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прелазима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којима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може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проводити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поступак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стављања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робе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слободан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промет</w:t>
      </w:r>
      <w:r w:rsidR="0057785E" w:rsidRPr="00B54D04">
        <w:rPr>
          <w:noProof/>
          <w:sz w:val="22"/>
          <w:szCs w:val="22"/>
          <w:lang w:val="sr-Latn-BA"/>
        </w:rPr>
        <w:t xml:space="preserve">, </w:t>
      </w:r>
      <w:r w:rsidRPr="00B54D04">
        <w:rPr>
          <w:noProof/>
          <w:sz w:val="22"/>
          <w:szCs w:val="22"/>
          <w:lang w:val="sr-Latn-BA"/>
        </w:rPr>
        <w:t>врсте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роба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начин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провођења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поступка</w:t>
      </w:r>
      <w:r w:rsidR="0057785E" w:rsidRPr="00B54D04">
        <w:rPr>
          <w:noProof/>
          <w:sz w:val="22"/>
          <w:szCs w:val="22"/>
          <w:lang w:val="sr-Latn-BA"/>
        </w:rPr>
        <w:t xml:space="preserve"> ("</w:t>
      </w:r>
      <w:r w:rsidRPr="00B54D04">
        <w:rPr>
          <w:noProof/>
          <w:sz w:val="22"/>
          <w:szCs w:val="22"/>
          <w:lang w:val="sr-Latn-BA"/>
        </w:rPr>
        <w:t>Службени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гласник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БиХ</w:t>
      </w:r>
      <w:r w:rsidR="0057785E" w:rsidRPr="00B54D04">
        <w:rPr>
          <w:noProof/>
          <w:sz w:val="22"/>
          <w:szCs w:val="22"/>
          <w:lang w:val="sr-Latn-BA"/>
        </w:rPr>
        <w:t xml:space="preserve">", </w:t>
      </w:r>
      <w:r w:rsidRPr="00B54D04">
        <w:rPr>
          <w:noProof/>
          <w:sz w:val="22"/>
          <w:szCs w:val="22"/>
          <w:lang w:val="sr-Latn-BA"/>
        </w:rPr>
        <w:t>бр</w:t>
      </w:r>
      <w:r w:rsidR="0057785E" w:rsidRPr="00B54D04">
        <w:rPr>
          <w:noProof/>
          <w:sz w:val="22"/>
          <w:szCs w:val="22"/>
          <w:lang w:val="sr-Latn-BA"/>
        </w:rPr>
        <w:t>. 104/06</w:t>
      </w:r>
      <w:r w:rsidR="00072A68">
        <w:rPr>
          <w:noProof/>
          <w:sz w:val="22"/>
          <w:szCs w:val="22"/>
          <w:lang w:val="sr-Latn-BA"/>
        </w:rPr>
        <w:t>,</w:t>
      </w:r>
      <w:r w:rsidR="0057785E" w:rsidRPr="00B54D04">
        <w:rPr>
          <w:noProof/>
          <w:sz w:val="22"/>
          <w:szCs w:val="22"/>
          <w:lang w:val="sr-Latn-BA"/>
        </w:rPr>
        <w:t xml:space="preserve"> 3/11</w:t>
      </w:r>
      <w:r w:rsidR="00072A68">
        <w:rPr>
          <w:noProof/>
          <w:sz w:val="22"/>
          <w:szCs w:val="22"/>
          <w:lang w:val="sr-Latn-BA"/>
        </w:rPr>
        <w:t xml:space="preserve"> </w:t>
      </w:r>
      <w:r w:rsidR="00072A68">
        <w:rPr>
          <w:noProof/>
          <w:sz w:val="22"/>
          <w:szCs w:val="22"/>
          <w:lang w:val="sr-Cyrl-BA"/>
        </w:rPr>
        <w:t>и 10/15)</w:t>
      </w:r>
      <w:r w:rsidR="002F4A1B" w:rsidRPr="00B54D04">
        <w:rPr>
          <w:noProof/>
          <w:sz w:val="22"/>
          <w:szCs w:val="22"/>
          <w:lang w:val="sr-Latn-BA"/>
        </w:rPr>
        <w:t xml:space="preserve">; </w:t>
      </w:r>
      <w:r w:rsidRPr="00B54D04">
        <w:rPr>
          <w:noProof/>
          <w:sz w:val="22"/>
          <w:szCs w:val="22"/>
          <w:lang w:val="sr-Latn-BA"/>
        </w:rPr>
        <w:t>у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даљем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тексту</w:t>
      </w:r>
      <w:r w:rsidR="002F4A1B" w:rsidRPr="00B54D04">
        <w:rPr>
          <w:noProof/>
          <w:sz w:val="22"/>
          <w:szCs w:val="22"/>
          <w:lang w:val="sr-Latn-BA"/>
        </w:rPr>
        <w:t xml:space="preserve">: </w:t>
      </w:r>
      <w:r w:rsidRPr="00B54D04">
        <w:rPr>
          <w:noProof/>
          <w:sz w:val="22"/>
          <w:szCs w:val="22"/>
          <w:lang w:val="sr-Latn-BA"/>
        </w:rPr>
        <w:t>Упутс</w:t>
      </w:r>
      <w:r w:rsidR="00322526">
        <w:rPr>
          <w:noProof/>
          <w:sz w:val="22"/>
          <w:szCs w:val="22"/>
          <w:lang w:val="sr-Cyrl-BA"/>
        </w:rPr>
        <w:t>т</w:t>
      </w:r>
      <w:r w:rsidRPr="00B54D04">
        <w:rPr>
          <w:noProof/>
          <w:sz w:val="22"/>
          <w:szCs w:val="22"/>
          <w:lang w:val="sr-Latn-BA"/>
        </w:rPr>
        <w:t>во</w:t>
      </w:r>
      <w:r w:rsidR="0057785E" w:rsidRPr="00B54D04">
        <w:rPr>
          <w:noProof/>
          <w:sz w:val="22"/>
          <w:szCs w:val="22"/>
          <w:lang w:val="sr-Latn-BA"/>
        </w:rPr>
        <w:t xml:space="preserve">), </w:t>
      </w:r>
      <w:r w:rsidRPr="00B54D04">
        <w:rPr>
          <w:noProof/>
          <w:sz w:val="22"/>
          <w:szCs w:val="22"/>
          <w:lang w:val="sr-Latn-BA"/>
        </w:rPr>
        <w:t>којим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Упутством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одређени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реферати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на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граничним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прелазима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Босни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Херцеговини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којима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може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проводити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поступак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стављања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робе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слободан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промет</w:t>
      </w:r>
      <w:r w:rsidR="0057785E" w:rsidRPr="00B54D04">
        <w:rPr>
          <w:noProof/>
          <w:sz w:val="22"/>
          <w:szCs w:val="22"/>
          <w:lang w:val="sr-Latn-BA"/>
        </w:rPr>
        <w:t xml:space="preserve">, </w:t>
      </w:r>
      <w:r w:rsidRPr="00B54D04">
        <w:rPr>
          <w:noProof/>
          <w:sz w:val="22"/>
          <w:szCs w:val="22"/>
          <w:lang w:val="sr-Latn-BA"/>
        </w:rPr>
        <w:t>врсте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роба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које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могу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бити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стављене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поступак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друга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питања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вези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тог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поступка</w:t>
      </w:r>
      <w:r w:rsidR="0057785E" w:rsidRPr="00B54D04">
        <w:rPr>
          <w:noProof/>
          <w:sz w:val="22"/>
          <w:szCs w:val="22"/>
          <w:lang w:val="sr-Latn-BA"/>
        </w:rPr>
        <w:t xml:space="preserve">. </w:t>
      </w:r>
      <w:r w:rsidRPr="00B54D04">
        <w:rPr>
          <w:noProof/>
          <w:sz w:val="22"/>
          <w:szCs w:val="22"/>
          <w:lang w:val="sr-Latn-BA"/>
        </w:rPr>
        <w:t>Чланом</w:t>
      </w:r>
      <w:r w:rsidR="0057785E" w:rsidRPr="00B54D04">
        <w:rPr>
          <w:noProof/>
          <w:sz w:val="22"/>
          <w:szCs w:val="22"/>
          <w:lang w:val="sr-Latn-BA"/>
        </w:rPr>
        <w:t xml:space="preserve"> 2. </w:t>
      </w:r>
      <w:r w:rsidRPr="00B54D04">
        <w:rPr>
          <w:noProof/>
          <w:sz w:val="22"/>
          <w:szCs w:val="22"/>
          <w:lang w:val="sr-Latn-BA"/>
        </w:rPr>
        <w:t>наведеног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Упутства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прописано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је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да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ће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наведени</w:t>
      </w:r>
      <w:r w:rsidR="002F4A1B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поступак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спроводити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царински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реферат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на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граничним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прелазима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у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Босни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Херцеговини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то</w:t>
      </w:r>
      <w:r w:rsidR="0057785E" w:rsidRPr="00B54D04">
        <w:rPr>
          <w:noProof/>
          <w:sz w:val="22"/>
          <w:szCs w:val="22"/>
          <w:lang w:val="sr-Latn-BA"/>
        </w:rPr>
        <w:t xml:space="preserve">: </w:t>
      </w:r>
      <w:r w:rsidRPr="00B54D04">
        <w:rPr>
          <w:noProof/>
          <w:sz w:val="22"/>
          <w:szCs w:val="22"/>
          <w:lang w:val="sr-Latn-BA"/>
        </w:rPr>
        <w:t>Павловића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Мост</w:t>
      </w:r>
      <w:r w:rsidR="0057785E" w:rsidRPr="00B54D04">
        <w:rPr>
          <w:noProof/>
          <w:sz w:val="22"/>
          <w:szCs w:val="22"/>
          <w:lang w:val="sr-Latn-BA"/>
        </w:rPr>
        <w:t xml:space="preserve">, </w:t>
      </w:r>
      <w:r w:rsidRPr="00B54D04">
        <w:rPr>
          <w:noProof/>
          <w:sz w:val="22"/>
          <w:szCs w:val="22"/>
          <w:lang w:val="sr-Latn-BA"/>
        </w:rPr>
        <w:t>Горица</w:t>
      </w:r>
      <w:r w:rsidR="0057785E" w:rsidRPr="00B54D04">
        <w:rPr>
          <w:noProof/>
          <w:sz w:val="22"/>
          <w:szCs w:val="22"/>
          <w:lang w:val="sr-Latn-BA"/>
        </w:rPr>
        <w:t xml:space="preserve">, </w:t>
      </w:r>
      <w:r w:rsidRPr="00B54D04">
        <w:rPr>
          <w:noProof/>
          <w:sz w:val="22"/>
          <w:szCs w:val="22"/>
          <w:lang w:val="sr-Latn-BA"/>
        </w:rPr>
        <w:t>Каменско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Pr="00B54D04">
        <w:rPr>
          <w:noProof/>
          <w:sz w:val="22"/>
          <w:szCs w:val="22"/>
          <w:lang w:val="sr-Latn-BA"/>
        </w:rPr>
        <w:t>и</w:t>
      </w:r>
      <w:r w:rsidR="0057785E" w:rsidRPr="00B54D04">
        <w:rPr>
          <w:noProof/>
          <w:sz w:val="22"/>
          <w:szCs w:val="22"/>
          <w:lang w:val="sr-Latn-BA"/>
        </w:rPr>
        <w:t xml:space="preserve"> </w:t>
      </w:r>
      <w:r w:rsidR="003761C7" w:rsidRPr="00B54D04">
        <w:rPr>
          <w:noProof/>
          <w:sz w:val="22"/>
          <w:szCs w:val="22"/>
          <w:lang w:val="sr-Cyrl-BA"/>
        </w:rPr>
        <w:t>Бијача</w:t>
      </w:r>
      <w:r w:rsidR="0057785E" w:rsidRPr="00B54D04">
        <w:rPr>
          <w:noProof/>
          <w:sz w:val="22"/>
          <w:szCs w:val="22"/>
          <w:lang w:val="sr-Latn-BA"/>
        </w:rPr>
        <w:t xml:space="preserve">. </w:t>
      </w:r>
      <w:r w:rsidR="00525650" w:rsidRPr="00B54D04">
        <w:rPr>
          <w:noProof/>
          <w:sz w:val="22"/>
          <w:szCs w:val="22"/>
          <w:lang w:val="sr-Latn-BA"/>
        </w:rPr>
        <w:t>Упутс</w:t>
      </w:r>
      <w:r w:rsidR="00525650" w:rsidRPr="00B54D04">
        <w:rPr>
          <w:noProof/>
          <w:sz w:val="22"/>
          <w:szCs w:val="22"/>
          <w:lang w:val="sr-Cyrl-BA"/>
        </w:rPr>
        <w:t>т</w:t>
      </w:r>
      <w:r w:rsidR="00525650" w:rsidRPr="00B54D04">
        <w:rPr>
          <w:noProof/>
          <w:sz w:val="22"/>
          <w:szCs w:val="22"/>
          <w:lang w:val="sr-Latn-BA"/>
        </w:rPr>
        <w:t xml:space="preserve">во </w:t>
      </w:r>
      <w:r w:rsidR="00525650" w:rsidRPr="00B54D04">
        <w:rPr>
          <w:noProof/>
          <w:sz w:val="22"/>
          <w:szCs w:val="22"/>
          <w:lang w:val="sr-Cyrl-BA"/>
        </w:rPr>
        <w:t xml:space="preserve">је раније </w:t>
      </w:r>
      <w:r w:rsidR="00525650" w:rsidRPr="00B54D04">
        <w:rPr>
          <w:noProof/>
          <w:sz w:val="22"/>
          <w:szCs w:val="22"/>
          <w:lang w:val="sr-Latn-BA"/>
        </w:rPr>
        <w:t>донијето у вријеме када нису били успост</w:t>
      </w:r>
      <w:r w:rsidR="00307F34">
        <w:rPr>
          <w:noProof/>
          <w:sz w:val="22"/>
          <w:szCs w:val="22"/>
          <w:lang w:val="sr-Cyrl-BA"/>
        </w:rPr>
        <w:t>а</w:t>
      </w:r>
      <w:r w:rsidR="00525650" w:rsidRPr="00B54D04">
        <w:rPr>
          <w:noProof/>
          <w:sz w:val="22"/>
          <w:szCs w:val="22"/>
          <w:lang w:val="sr-Latn-BA"/>
        </w:rPr>
        <w:t>вљени појед</w:t>
      </w:r>
      <w:r w:rsidR="00525650" w:rsidRPr="00B54D04">
        <w:rPr>
          <w:noProof/>
          <w:sz w:val="22"/>
          <w:szCs w:val="22"/>
          <w:lang w:val="sr-Cyrl-BA"/>
        </w:rPr>
        <w:t>н</w:t>
      </w:r>
      <w:r w:rsidR="00525650" w:rsidRPr="00B54D04">
        <w:rPr>
          <w:noProof/>
          <w:sz w:val="22"/>
          <w:szCs w:val="22"/>
          <w:lang w:val="sr-Latn-BA"/>
        </w:rPr>
        <w:t>остављени царински поступци</w:t>
      </w:r>
      <w:r w:rsidR="00525650" w:rsidRPr="00B54D04">
        <w:rPr>
          <w:noProof/>
          <w:sz w:val="22"/>
          <w:szCs w:val="22"/>
          <w:lang w:val="sr-Cyrl-BA"/>
        </w:rPr>
        <w:t>,</w:t>
      </w:r>
      <w:r w:rsidR="00525650" w:rsidRPr="00B54D04">
        <w:rPr>
          <w:noProof/>
          <w:sz w:val="22"/>
          <w:szCs w:val="22"/>
          <w:lang w:val="sr-Latn-BA"/>
        </w:rPr>
        <w:t xml:space="preserve"> </w:t>
      </w:r>
      <w:r w:rsidR="00525650" w:rsidRPr="00B54D04">
        <w:rPr>
          <w:noProof/>
          <w:sz w:val="22"/>
          <w:szCs w:val="22"/>
          <w:lang w:val="sr-Cyrl-BA"/>
        </w:rPr>
        <w:t xml:space="preserve">па ни </w:t>
      </w:r>
      <w:r w:rsidR="00525650" w:rsidRPr="00B54D04">
        <w:rPr>
          <w:noProof/>
          <w:sz w:val="22"/>
          <w:szCs w:val="22"/>
          <w:lang w:val="sr-Latn-BA"/>
        </w:rPr>
        <w:t xml:space="preserve">поједностављени царински поступак </w:t>
      </w:r>
      <w:r w:rsidR="00525650" w:rsidRPr="00B54D04">
        <w:rPr>
          <w:noProof/>
          <w:sz w:val="22"/>
          <w:szCs w:val="22"/>
          <w:lang w:val="sr-Cyrl-BA"/>
        </w:rPr>
        <w:t xml:space="preserve">по </w:t>
      </w:r>
      <w:r w:rsidR="00525650" w:rsidRPr="00B54D04">
        <w:rPr>
          <w:noProof/>
          <w:sz w:val="22"/>
          <w:szCs w:val="22"/>
          <w:lang w:val="sr-Latn-BA"/>
        </w:rPr>
        <w:t>фактур</w:t>
      </w:r>
      <w:r w:rsidR="00525650" w:rsidRPr="00B54D04">
        <w:rPr>
          <w:noProof/>
          <w:sz w:val="22"/>
          <w:szCs w:val="22"/>
          <w:lang w:val="sr-Cyrl-BA"/>
        </w:rPr>
        <w:t>и.</w:t>
      </w:r>
    </w:p>
    <w:p w:rsidR="002F4A1B" w:rsidRPr="00B54D04" w:rsidRDefault="002F4A1B" w:rsidP="002F4A1B">
      <w:pPr>
        <w:tabs>
          <w:tab w:val="left" w:pos="720"/>
          <w:tab w:val="center" w:pos="4536"/>
          <w:tab w:val="right" w:pos="9072"/>
        </w:tabs>
        <w:jc w:val="both"/>
        <w:rPr>
          <w:noProof/>
          <w:sz w:val="22"/>
          <w:szCs w:val="22"/>
          <w:lang w:val="sr-Latn-BA"/>
        </w:rPr>
      </w:pPr>
    </w:p>
    <w:p w:rsidR="003761C7" w:rsidRPr="00B54D04" w:rsidRDefault="00C87BBA" w:rsidP="002F4A1B">
      <w:pPr>
        <w:tabs>
          <w:tab w:val="left" w:pos="720"/>
          <w:tab w:val="center" w:pos="4536"/>
          <w:tab w:val="right" w:pos="9072"/>
        </w:tabs>
        <w:jc w:val="both"/>
        <w:rPr>
          <w:noProof/>
          <w:sz w:val="22"/>
          <w:szCs w:val="22"/>
          <w:lang w:val="sr-Latn-BA"/>
        </w:rPr>
      </w:pPr>
      <w:r>
        <w:rPr>
          <w:noProof/>
          <w:sz w:val="22"/>
          <w:szCs w:val="22"/>
          <w:lang w:val="sr-Cyrl-BA"/>
        </w:rPr>
        <w:t xml:space="preserve">Обзиром </w:t>
      </w:r>
      <w:r w:rsidR="00C87893" w:rsidRPr="00B54D04">
        <w:rPr>
          <w:noProof/>
          <w:sz w:val="22"/>
          <w:szCs w:val="22"/>
          <w:lang w:val="sr-Latn-BA"/>
        </w:rPr>
        <w:t xml:space="preserve">да </w:t>
      </w:r>
      <w:r w:rsidR="003761C7" w:rsidRPr="00B54D04">
        <w:rPr>
          <w:noProof/>
          <w:sz w:val="22"/>
          <w:szCs w:val="22"/>
          <w:lang w:val="sr-Cyrl-BA"/>
        </w:rPr>
        <w:t>су</w:t>
      </w:r>
      <w:r w:rsidR="00525650" w:rsidRPr="00B54D04">
        <w:rPr>
          <w:noProof/>
          <w:sz w:val="22"/>
          <w:szCs w:val="22"/>
          <w:lang w:val="sr-Cyrl-BA"/>
        </w:rPr>
        <w:t xml:space="preserve"> већ дуже вријеме у примјени </w:t>
      </w:r>
      <w:r w:rsidR="003761C7" w:rsidRPr="00B54D04">
        <w:rPr>
          <w:noProof/>
          <w:sz w:val="22"/>
          <w:szCs w:val="22"/>
          <w:lang w:val="sr-Cyrl-BA"/>
        </w:rPr>
        <w:t xml:space="preserve">поједностављени царински поступци: </w:t>
      </w:r>
      <w:r w:rsidR="00525650" w:rsidRPr="00B54D04">
        <w:rPr>
          <w:noProof/>
          <w:sz w:val="22"/>
          <w:szCs w:val="22"/>
          <w:lang w:val="sr-Cyrl-BA"/>
        </w:rPr>
        <w:t xml:space="preserve">кућно увозно и </w:t>
      </w:r>
      <w:r w:rsidR="00AC2723" w:rsidRPr="00B54D04">
        <w:rPr>
          <w:noProof/>
          <w:sz w:val="22"/>
          <w:szCs w:val="22"/>
          <w:lang w:val="sr-Cyrl-BA"/>
        </w:rPr>
        <w:t xml:space="preserve">кућно </w:t>
      </w:r>
      <w:r w:rsidR="00525650" w:rsidRPr="00B54D04">
        <w:rPr>
          <w:noProof/>
          <w:sz w:val="22"/>
          <w:szCs w:val="22"/>
          <w:lang w:val="sr-Cyrl-BA"/>
        </w:rPr>
        <w:t>извозно царињење у складу са царинским прописима, као и поједност</w:t>
      </w:r>
      <w:r w:rsidR="006F7C07">
        <w:rPr>
          <w:noProof/>
          <w:sz w:val="22"/>
          <w:szCs w:val="22"/>
          <w:lang w:val="sr-Cyrl-BA"/>
        </w:rPr>
        <w:t>а</w:t>
      </w:r>
      <w:r w:rsidR="00525650" w:rsidRPr="00B54D04">
        <w:rPr>
          <w:noProof/>
          <w:sz w:val="22"/>
          <w:szCs w:val="22"/>
          <w:lang w:val="sr-Cyrl-BA"/>
        </w:rPr>
        <w:t>в</w:t>
      </w:r>
      <w:r w:rsidR="006F7C07">
        <w:rPr>
          <w:noProof/>
          <w:sz w:val="22"/>
          <w:szCs w:val="22"/>
          <w:lang w:val="sr-Cyrl-BA"/>
        </w:rPr>
        <w:t>љ</w:t>
      </w:r>
      <w:r w:rsidR="00525650" w:rsidRPr="00B54D04">
        <w:rPr>
          <w:noProof/>
          <w:sz w:val="22"/>
          <w:szCs w:val="22"/>
          <w:lang w:val="sr-Cyrl-BA"/>
        </w:rPr>
        <w:t>ени поступак</w:t>
      </w:r>
      <w:r w:rsidR="00AC2723" w:rsidRPr="00B54D04">
        <w:rPr>
          <w:noProof/>
          <w:sz w:val="22"/>
          <w:szCs w:val="22"/>
          <w:lang w:val="sr-Cyrl-BA"/>
        </w:rPr>
        <w:t xml:space="preserve"> по фактури који се </w:t>
      </w:r>
      <w:r w:rsidR="00525650" w:rsidRPr="00B54D04">
        <w:rPr>
          <w:noProof/>
          <w:sz w:val="22"/>
          <w:szCs w:val="22"/>
          <w:lang w:val="sr-Cyrl-BA"/>
        </w:rPr>
        <w:t xml:space="preserve">може користити и за увоз и извоз одређених роба (међу којима </w:t>
      </w:r>
      <w:r w:rsidR="00AC2723" w:rsidRPr="00B54D04">
        <w:rPr>
          <w:noProof/>
          <w:sz w:val="22"/>
          <w:szCs w:val="22"/>
          <w:lang w:val="sr-Cyrl-BA"/>
        </w:rPr>
        <w:t>су</w:t>
      </w:r>
      <w:r w:rsidR="003761C7" w:rsidRPr="00B54D04">
        <w:rPr>
          <w:noProof/>
          <w:sz w:val="22"/>
          <w:szCs w:val="22"/>
          <w:lang w:val="sr-Cyrl-BA"/>
        </w:rPr>
        <w:t xml:space="preserve"> и</w:t>
      </w:r>
      <w:r w:rsidR="00525650" w:rsidRPr="00B54D04">
        <w:rPr>
          <w:noProof/>
          <w:sz w:val="22"/>
          <w:szCs w:val="22"/>
          <w:lang w:val="sr-Cyrl-BA"/>
        </w:rPr>
        <w:t xml:space="preserve"> велики дио роба на које се примјењивало Упутство), </w:t>
      </w:r>
      <w:r w:rsidR="009D4B1E">
        <w:rPr>
          <w:noProof/>
          <w:sz w:val="22"/>
          <w:szCs w:val="22"/>
          <w:lang w:val="sr-Cyrl-BA"/>
        </w:rPr>
        <w:t xml:space="preserve">те узимајући у обзир чињеницу </w:t>
      </w:r>
      <w:r w:rsidR="003761C7" w:rsidRPr="00B54D04">
        <w:rPr>
          <w:noProof/>
          <w:sz w:val="22"/>
          <w:szCs w:val="22"/>
          <w:lang w:val="sr-Latn-BA"/>
        </w:rPr>
        <w:t>да царински органи на граничним прелазима нису ни организовани за спровођење увозних и извозних поступака који су у надлежности унутрашњих царинских испостава, јер исти и не спадају у дјелокруг њиховог редовног рада,</w:t>
      </w:r>
      <w:r>
        <w:rPr>
          <w:noProof/>
          <w:sz w:val="22"/>
          <w:szCs w:val="22"/>
          <w:lang w:val="sr-Cyrl-BA"/>
        </w:rPr>
        <w:t xml:space="preserve"> то </w:t>
      </w:r>
      <w:r w:rsidR="006E22AE" w:rsidRPr="00B54D04">
        <w:rPr>
          <w:noProof/>
          <w:sz w:val="22"/>
          <w:szCs w:val="22"/>
          <w:lang w:val="sr-Cyrl-BA"/>
        </w:rPr>
        <w:t>са аспекта наведених</w:t>
      </w:r>
      <w:r>
        <w:rPr>
          <w:noProof/>
          <w:sz w:val="22"/>
          <w:szCs w:val="22"/>
          <w:lang w:val="sr-Cyrl-BA"/>
        </w:rPr>
        <w:t xml:space="preserve"> и других </w:t>
      </w:r>
      <w:r w:rsidR="006E22AE" w:rsidRPr="00B54D04">
        <w:rPr>
          <w:noProof/>
          <w:sz w:val="22"/>
          <w:szCs w:val="22"/>
          <w:lang w:val="sr-Cyrl-BA"/>
        </w:rPr>
        <w:t xml:space="preserve">разлога </w:t>
      </w:r>
      <w:r w:rsidR="00B308AE" w:rsidRPr="00B54D04">
        <w:rPr>
          <w:noProof/>
          <w:sz w:val="22"/>
          <w:szCs w:val="22"/>
          <w:lang w:val="sr-Cyrl-BA"/>
        </w:rPr>
        <w:t xml:space="preserve">више није оправдано </w:t>
      </w:r>
      <w:r w:rsidR="006E22AE" w:rsidRPr="00B54D04">
        <w:rPr>
          <w:noProof/>
          <w:sz w:val="22"/>
          <w:szCs w:val="22"/>
          <w:lang w:val="sr-Cyrl-BA"/>
        </w:rPr>
        <w:t>даље одржавање на снази Упутства</w:t>
      </w:r>
      <w:r w:rsidR="00B308AE" w:rsidRPr="00B54D04">
        <w:rPr>
          <w:noProof/>
          <w:sz w:val="22"/>
          <w:szCs w:val="22"/>
          <w:lang w:val="sr-Cyrl-BA"/>
        </w:rPr>
        <w:t>.</w:t>
      </w:r>
    </w:p>
    <w:p w:rsidR="00AC2723" w:rsidRPr="00B54D04" w:rsidRDefault="00AC2723" w:rsidP="002F4A1B">
      <w:pPr>
        <w:tabs>
          <w:tab w:val="left" w:pos="720"/>
          <w:tab w:val="center" w:pos="4536"/>
          <w:tab w:val="right" w:pos="9072"/>
        </w:tabs>
        <w:jc w:val="both"/>
        <w:rPr>
          <w:noProof/>
          <w:sz w:val="22"/>
          <w:szCs w:val="22"/>
          <w:lang w:val="sr-Cyrl-BA"/>
        </w:rPr>
      </w:pPr>
    </w:p>
    <w:p w:rsidR="00AC2723" w:rsidRPr="006F7C07" w:rsidRDefault="00AC2723" w:rsidP="002F4A1B">
      <w:pPr>
        <w:tabs>
          <w:tab w:val="left" w:pos="720"/>
          <w:tab w:val="center" w:pos="4536"/>
          <w:tab w:val="right" w:pos="9072"/>
        </w:tabs>
        <w:jc w:val="both"/>
        <w:rPr>
          <w:noProof/>
          <w:color w:val="000000" w:themeColor="text1"/>
          <w:sz w:val="22"/>
          <w:szCs w:val="22"/>
          <w:lang w:val="sr-Cyrl-BA"/>
        </w:rPr>
      </w:pPr>
      <w:r w:rsidRPr="006E22AE">
        <w:rPr>
          <w:noProof/>
          <w:sz w:val="22"/>
          <w:szCs w:val="22"/>
          <w:lang w:val="sr-Cyrl-BA"/>
        </w:rPr>
        <w:t xml:space="preserve">Из изнијетог, </w:t>
      </w:r>
      <w:r w:rsidR="00C87BBA">
        <w:rPr>
          <w:noProof/>
          <w:sz w:val="22"/>
          <w:szCs w:val="22"/>
          <w:lang w:val="sr-Cyrl-BA"/>
        </w:rPr>
        <w:t xml:space="preserve">припремљен је </w:t>
      </w:r>
      <w:r w:rsidRPr="006E22AE">
        <w:rPr>
          <w:noProof/>
          <w:sz w:val="22"/>
          <w:szCs w:val="22"/>
          <w:lang w:val="sr-Cyrl-BA"/>
        </w:rPr>
        <w:t xml:space="preserve">преднацрт </w:t>
      </w:r>
      <w:r w:rsidRPr="006F7C07">
        <w:rPr>
          <w:rStyle w:val="SubtleEmphasis"/>
          <w:i w:val="0"/>
          <w:noProof/>
          <w:color w:val="000000" w:themeColor="text1"/>
          <w:sz w:val="22"/>
          <w:szCs w:val="22"/>
          <w:lang w:val="sr-Latn-BA"/>
        </w:rPr>
        <w:t>Упутства о стављању ван снаге Упутства о одређивању царинских реферата на граничним прелазима у којима се може проводити царински поступак стављања робе у слободан промет, врсте роба и начин провођења поступка</w:t>
      </w:r>
      <w:r w:rsidRPr="006F7C07">
        <w:rPr>
          <w:rStyle w:val="SubtleEmphasis"/>
          <w:i w:val="0"/>
          <w:noProof/>
          <w:color w:val="000000" w:themeColor="text1"/>
          <w:sz w:val="22"/>
          <w:szCs w:val="22"/>
          <w:lang w:val="sr-Cyrl-BA"/>
        </w:rPr>
        <w:t>.</w:t>
      </w:r>
    </w:p>
    <w:p w:rsidR="00661543" w:rsidRPr="006F7C07" w:rsidRDefault="00661543" w:rsidP="00954C12">
      <w:pPr>
        <w:jc w:val="both"/>
        <w:rPr>
          <w:rFonts w:eastAsia="Calibri"/>
          <w:b/>
          <w:noProof/>
          <w:color w:val="000000" w:themeColor="text1"/>
          <w:sz w:val="22"/>
          <w:szCs w:val="22"/>
          <w:lang w:val="sr-Latn-BA"/>
        </w:rPr>
      </w:pPr>
    </w:p>
    <w:p w:rsidR="00661543" w:rsidRPr="006F7C07" w:rsidRDefault="00661543" w:rsidP="00954C12">
      <w:pPr>
        <w:jc w:val="both"/>
        <w:rPr>
          <w:rFonts w:eastAsia="Calibri"/>
          <w:b/>
          <w:noProof/>
          <w:color w:val="000000" w:themeColor="text1"/>
          <w:sz w:val="22"/>
          <w:szCs w:val="22"/>
          <w:lang w:val="sr-Latn-BA"/>
        </w:rPr>
      </w:pPr>
    </w:p>
    <w:p w:rsidR="00954C12" w:rsidRPr="006F7C07" w:rsidRDefault="00954C12" w:rsidP="00954C12">
      <w:pPr>
        <w:jc w:val="both"/>
        <w:rPr>
          <w:rFonts w:eastAsia="Calibri"/>
          <w:noProof/>
          <w:color w:val="000000" w:themeColor="text1"/>
          <w:sz w:val="22"/>
          <w:szCs w:val="22"/>
          <w:lang w:val="sr-Latn-BA"/>
        </w:rPr>
      </w:pPr>
      <w:r w:rsidRPr="006F7C07">
        <w:rPr>
          <w:rFonts w:eastAsia="Calibri"/>
          <w:b/>
          <w:noProof/>
          <w:color w:val="000000" w:themeColor="text1"/>
          <w:sz w:val="22"/>
          <w:szCs w:val="22"/>
          <w:lang w:val="sr-Latn-BA"/>
        </w:rPr>
        <w:t xml:space="preserve">Финансијска средства за спровођење </w:t>
      </w:r>
      <w:r w:rsidRPr="006F7C07">
        <w:rPr>
          <w:rFonts w:eastAsia="Calibri"/>
          <w:noProof/>
          <w:color w:val="000000" w:themeColor="text1"/>
          <w:sz w:val="22"/>
          <w:szCs w:val="22"/>
          <w:lang w:val="sr-Latn-BA"/>
        </w:rPr>
        <w:t xml:space="preserve">Упутства </w:t>
      </w:r>
      <w:r w:rsidR="00AC2723" w:rsidRPr="006F7C07">
        <w:rPr>
          <w:rStyle w:val="SubtleEmphasis"/>
          <w:i w:val="0"/>
          <w:noProof/>
          <w:color w:val="000000" w:themeColor="text1"/>
          <w:sz w:val="22"/>
          <w:szCs w:val="22"/>
          <w:lang w:val="sr-Latn-BA"/>
        </w:rPr>
        <w:t>о стављању ван снаге Упутства о одређивању царинских реферата на граничним прелазима у којима се може проводити царински поступак стављања робе у слободан промет, врсте роба и начин провођења поступка</w:t>
      </w:r>
    </w:p>
    <w:p w:rsidR="00AC2723" w:rsidRPr="006E22AE" w:rsidRDefault="00AC2723" w:rsidP="00954C12">
      <w:pPr>
        <w:jc w:val="both"/>
        <w:rPr>
          <w:rFonts w:eastAsia="Calibri"/>
          <w:noProof/>
          <w:sz w:val="22"/>
          <w:szCs w:val="22"/>
          <w:lang w:val="sr-Latn-BA"/>
        </w:rPr>
      </w:pPr>
    </w:p>
    <w:p w:rsidR="00954C12" w:rsidRPr="006E22AE" w:rsidRDefault="00954C12" w:rsidP="00954C12">
      <w:pPr>
        <w:jc w:val="both"/>
        <w:rPr>
          <w:rFonts w:eastAsia="Calibri"/>
          <w:noProof/>
          <w:sz w:val="22"/>
          <w:szCs w:val="22"/>
          <w:lang w:val="sr-Latn-BA"/>
        </w:rPr>
      </w:pPr>
      <w:r w:rsidRPr="006E22AE">
        <w:rPr>
          <w:rFonts w:eastAsia="Calibri"/>
          <w:noProof/>
          <w:sz w:val="22"/>
          <w:szCs w:val="22"/>
          <w:lang w:val="sr-Latn-BA"/>
        </w:rPr>
        <w:t>За спровођење овог упутства нису потребна додатна финансијска средства.</w:t>
      </w:r>
    </w:p>
    <w:p w:rsidR="006E22AE" w:rsidRPr="002412F1" w:rsidRDefault="006E22AE" w:rsidP="00954C12">
      <w:pPr>
        <w:jc w:val="both"/>
        <w:rPr>
          <w:noProof/>
          <w:color w:val="000000" w:themeColor="text1"/>
          <w:sz w:val="22"/>
          <w:szCs w:val="22"/>
          <w:lang w:val="sr-Latn-BA"/>
        </w:rPr>
      </w:pPr>
    </w:p>
    <w:p w:rsidR="006E22AE" w:rsidRPr="006E22AE" w:rsidRDefault="006E22AE" w:rsidP="00954C12">
      <w:pPr>
        <w:jc w:val="both"/>
        <w:rPr>
          <w:noProof/>
          <w:sz w:val="22"/>
          <w:szCs w:val="22"/>
          <w:lang w:val="sr-Latn-BA"/>
        </w:rPr>
      </w:pPr>
    </w:p>
    <w:p w:rsidR="00954C12" w:rsidRPr="006E22AE" w:rsidRDefault="00954C12" w:rsidP="00954C12">
      <w:pPr>
        <w:jc w:val="both"/>
        <w:rPr>
          <w:rFonts w:eastAsia="Calibri"/>
          <w:noProof/>
          <w:sz w:val="22"/>
          <w:szCs w:val="22"/>
          <w:lang w:val="sr-Latn-BA"/>
        </w:rPr>
      </w:pPr>
    </w:p>
    <w:p w:rsidR="00954C12" w:rsidRPr="006E22AE" w:rsidRDefault="00954C12" w:rsidP="00954C12">
      <w:pPr>
        <w:rPr>
          <w:rFonts w:eastAsia="Calibri"/>
          <w:noProof/>
          <w:sz w:val="22"/>
          <w:szCs w:val="22"/>
          <w:lang w:val="sr-Latn-BA"/>
        </w:rPr>
      </w:pPr>
      <w:r w:rsidRPr="006E22AE">
        <w:rPr>
          <w:rFonts w:eastAsia="Calibri"/>
          <w:noProof/>
          <w:sz w:val="22"/>
          <w:szCs w:val="22"/>
          <w:lang w:val="sr-Latn-BA"/>
        </w:rPr>
        <w:t xml:space="preserve">Бања Лука, </w:t>
      </w:r>
      <w:r w:rsidR="008C18A3">
        <w:rPr>
          <w:rFonts w:eastAsia="Calibri"/>
          <w:noProof/>
          <w:sz w:val="22"/>
          <w:szCs w:val="22"/>
          <w:lang w:val="sr-Latn-BA"/>
        </w:rPr>
        <w:t>02.10.</w:t>
      </w:r>
      <w:r w:rsidRPr="006E22AE">
        <w:rPr>
          <w:rFonts w:eastAsia="Calibri"/>
          <w:noProof/>
          <w:sz w:val="22"/>
          <w:szCs w:val="22"/>
          <w:lang w:val="sr-Latn-BA"/>
        </w:rPr>
        <w:t>2025. године                                         УПРАВА ЗА ИНДИРЕКТНО ОПОРЕЗИВАЊЕ</w:t>
      </w:r>
    </w:p>
    <w:p w:rsidR="00954C12" w:rsidRPr="006E22AE" w:rsidRDefault="00954C12" w:rsidP="00954C12">
      <w:pPr>
        <w:rPr>
          <w:rFonts w:eastAsia="Calibri"/>
          <w:noProof/>
          <w:sz w:val="22"/>
          <w:szCs w:val="22"/>
          <w:lang w:val="sr-Latn-BA"/>
        </w:rPr>
      </w:pPr>
    </w:p>
    <w:p w:rsidR="00954C12" w:rsidRPr="006E22AE" w:rsidRDefault="00954C12" w:rsidP="00954C12">
      <w:pPr>
        <w:rPr>
          <w:rFonts w:eastAsia="Calibri"/>
          <w:noProof/>
          <w:sz w:val="22"/>
          <w:szCs w:val="22"/>
          <w:lang w:val="sr-Latn-BA"/>
        </w:rPr>
      </w:pPr>
    </w:p>
    <w:p w:rsidR="00954C12" w:rsidRPr="006E22AE" w:rsidRDefault="00954C12" w:rsidP="00954C12">
      <w:pPr>
        <w:rPr>
          <w:rFonts w:eastAsia="Calibri"/>
          <w:noProof/>
          <w:sz w:val="22"/>
          <w:szCs w:val="22"/>
          <w:lang w:val="sr-Latn-BA" w:eastAsia="sr-Latn-RS"/>
        </w:rPr>
      </w:pPr>
    </w:p>
    <w:p w:rsidR="00791ACA" w:rsidRPr="006E22AE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p w:rsidR="00791ACA" w:rsidRPr="006E22AE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p w:rsidR="00791ACA" w:rsidRPr="006E22AE" w:rsidRDefault="00791ACA" w:rsidP="00A27E63">
      <w:pPr>
        <w:pStyle w:val="BodyText2"/>
        <w:rPr>
          <w:b/>
          <w:bCs/>
          <w:noProof/>
          <w:szCs w:val="22"/>
          <w:lang w:val="sr-Latn-BA"/>
        </w:rPr>
      </w:pPr>
    </w:p>
    <w:sectPr w:rsidR="00791ACA" w:rsidRPr="006E22AE" w:rsidSect="002E2D3D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815"/>
    <w:multiLevelType w:val="hybridMultilevel"/>
    <w:tmpl w:val="C2B4E8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335DF"/>
    <w:multiLevelType w:val="hybridMultilevel"/>
    <w:tmpl w:val="1830570A"/>
    <w:lvl w:ilvl="0" w:tplc="1BEC77A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F2195"/>
    <w:multiLevelType w:val="hybridMultilevel"/>
    <w:tmpl w:val="26F28D32"/>
    <w:lvl w:ilvl="0" w:tplc="099C271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3E1CE9"/>
    <w:multiLevelType w:val="hybridMultilevel"/>
    <w:tmpl w:val="B18245EA"/>
    <w:lvl w:ilvl="0" w:tplc="0409000F">
      <w:start w:val="2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 w15:restartNumberingAfterBreak="0">
    <w:nsid w:val="0A0351E4"/>
    <w:multiLevelType w:val="hybridMultilevel"/>
    <w:tmpl w:val="FA183696"/>
    <w:lvl w:ilvl="0" w:tplc="98DA6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sr-Cyrl-B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E1A40"/>
    <w:multiLevelType w:val="hybridMultilevel"/>
    <w:tmpl w:val="5B868E40"/>
    <w:lvl w:ilvl="0" w:tplc="D0D2B6C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8742F0"/>
    <w:multiLevelType w:val="hybridMultilevel"/>
    <w:tmpl w:val="C414D9BC"/>
    <w:lvl w:ilvl="0" w:tplc="82FC6240">
      <w:start w:val="1"/>
      <w:numFmt w:val="upp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DBE36C5"/>
    <w:multiLevelType w:val="hybridMultilevel"/>
    <w:tmpl w:val="BA248EA4"/>
    <w:lvl w:ilvl="0" w:tplc="4BF6B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74EDA"/>
    <w:multiLevelType w:val="hybridMultilevel"/>
    <w:tmpl w:val="BF245FB0"/>
    <w:lvl w:ilvl="0" w:tplc="E90C2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E0F"/>
    <w:multiLevelType w:val="hybridMultilevel"/>
    <w:tmpl w:val="4B1A8186"/>
    <w:lvl w:ilvl="0" w:tplc="B8261B7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0D5FDD"/>
    <w:multiLevelType w:val="hybridMultilevel"/>
    <w:tmpl w:val="47BA1260"/>
    <w:lvl w:ilvl="0" w:tplc="E738F5AC">
      <w:start w:val="72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4644F7"/>
    <w:multiLevelType w:val="hybridMultilevel"/>
    <w:tmpl w:val="996AF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C7332"/>
    <w:multiLevelType w:val="hybridMultilevel"/>
    <w:tmpl w:val="4F249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61A91"/>
    <w:multiLevelType w:val="hybridMultilevel"/>
    <w:tmpl w:val="65362D60"/>
    <w:lvl w:ilvl="0" w:tplc="B8261B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1F1605"/>
    <w:multiLevelType w:val="hybridMultilevel"/>
    <w:tmpl w:val="1574493C"/>
    <w:lvl w:ilvl="0" w:tplc="02D2808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5" w15:restartNumberingAfterBreak="0">
    <w:nsid w:val="3E964064"/>
    <w:multiLevelType w:val="hybridMultilevel"/>
    <w:tmpl w:val="049E9A0C"/>
    <w:lvl w:ilvl="0" w:tplc="4BF6B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312EF"/>
    <w:multiLevelType w:val="hybridMultilevel"/>
    <w:tmpl w:val="C3182052"/>
    <w:lvl w:ilvl="0" w:tplc="EE968320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92C5415"/>
    <w:multiLevelType w:val="hybridMultilevel"/>
    <w:tmpl w:val="CD3AABC8"/>
    <w:lvl w:ilvl="0" w:tplc="2E5843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65365"/>
    <w:multiLevelType w:val="hybridMultilevel"/>
    <w:tmpl w:val="E8F6C180"/>
    <w:lvl w:ilvl="0" w:tplc="FA4CCE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A5D2894"/>
    <w:multiLevelType w:val="hybridMultilevel"/>
    <w:tmpl w:val="EF5E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00A80"/>
    <w:multiLevelType w:val="multilevel"/>
    <w:tmpl w:val="E3746CB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4E0D0C19"/>
    <w:multiLevelType w:val="hybridMultilevel"/>
    <w:tmpl w:val="B0DEB714"/>
    <w:lvl w:ilvl="0" w:tplc="28A237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96B1A"/>
    <w:multiLevelType w:val="hybridMultilevel"/>
    <w:tmpl w:val="652CABDC"/>
    <w:lvl w:ilvl="0" w:tplc="B8261B7C">
      <w:start w:val="25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F3B7C"/>
    <w:multiLevelType w:val="hybridMultilevel"/>
    <w:tmpl w:val="593841F0"/>
    <w:lvl w:ilvl="0" w:tplc="11122DCC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55415D44"/>
    <w:multiLevelType w:val="hybridMultilevel"/>
    <w:tmpl w:val="AE3A6C40"/>
    <w:lvl w:ilvl="0" w:tplc="255A6770">
      <w:start w:val="6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C2371C"/>
    <w:multiLevelType w:val="hybridMultilevel"/>
    <w:tmpl w:val="0CEAEDC0"/>
    <w:lvl w:ilvl="0" w:tplc="B8261B7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165E7"/>
    <w:multiLevelType w:val="hybridMultilevel"/>
    <w:tmpl w:val="D5B4F012"/>
    <w:lvl w:ilvl="0" w:tplc="B8261B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BB1B0A"/>
    <w:multiLevelType w:val="hybridMultilevel"/>
    <w:tmpl w:val="CAD8569C"/>
    <w:lvl w:ilvl="0" w:tplc="ED8E2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F947CEA"/>
    <w:multiLevelType w:val="hybridMultilevel"/>
    <w:tmpl w:val="E6247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F7E23"/>
    <w:multiLevelType w:val="hybridMultilevel"/>
    <w:tmpl w:val="B1C8CD6E"/>
    <w:lvl w:ilvl="0" w:tplc="4BF6B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E6BBA"/>
    <w:multiLevelType w:val="hybridMultilevel"/>
    <w:tmpl w:val="761C91C6"/>
    <w:lvl w:ilvl="0" w:tplc="8D56ABD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8EE4E5D"/>
    <w:multiLevelType w:val="hybridMultilevel"/>
    <w:tmpl w:val="075A5A74"/>
    <w:lvl w:ilvl="0" w:tplc="07CC6F7A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674C85"/>
    <w:multiLevelType w:val="hybridMultilevel"/>
    <w:tmpl w:val="64E8AB0C"/>
    <w:lvl w:ilvl="0" w:tplc="B8261B7C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BE561D"/>
    <w:multiLevelType w:val="hybridMultilevel"/>
    <w:tmpl w:val="D5B408DE"/>
    <w:lvl w:ilvl="0" w:tplc="E04AFA02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75840"/>
    <w:multiLevelType w:val="hybridMultilevel"/>
    <w:tmpl w:val="272ADDBC"/>
    <w:lvl w:ilvl="0" w:tplc="DDC0BB3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CE42534"/>
    <w:multiLevelType w:val="hybridMultilevel"/>
    <w:tmpl w:val="F8F69E6C"/>
    <w:lvl w:ilvl="0" w:tplc="4BF6B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A3535"/>
    <w:multiLevelType w:val="hybridMultilevel"/>
    <w:tmpl w:val="523AF048"/>
    <w:lvl w:ilvl="0" w:tplc="25245F96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710C74"/>
    <w:multiLevelType w:val="hybridMultilevel"/>
    <w:tmpl w:val="BABC4216"/>
    <w:lvl w:ilvl="0" w:tplc="B8261B7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F70D6B"/>
    <w:multiLevelType w:val="hybridMultilevel"/>
    <w:tmpl w:val="845AE876"/>
    <w:lvl w:ilvl="0" w:tplc="6F9048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CA8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7"/>
  </w:num>
  <w:num w:numId="4">
    <w:abstractNumId w:val="2"/>
  </w:num>
  <w:num w:numId="5">
    <w:abstractNumId w:val="25"/>
  </w:num>
  <w:num w:numId="6">
    <w:abstractNumId w:val="13"/>
  </w:num>
  <w:num w:numId="7">
    <w:abstractNumId w:val="1"/>
  </w:num>
  <w:num w:numId="8">
    <w:abstractNumId w:val="28"/>
  </w:num>
  <w:num w:numId="9">
    <w:abstractNumId w:val="19"/>
  </w:num>
  <w:num w:numId="10">
    <w:abstractNumId w:val="34"/>
  </w:num>
  <w:num w:numId="11">
    <w:abstractNumId w:val="0"/>
  </w:num>
  <w:num w:numId="12">
    <w:abstractNumId w:val="24"/>
  </w:num>
  <w:num w:numId="13">
    <w:abstractNumId w:val="21"/>
  </w:num>
  <w:num w:numId="14">
    <w:abstractNumId w:val="20"/>
  </w:num>
  <w:num w:numId="15">
    <w:abstractNumId w:val="37"/>
  </w:num>
  <w:num w:numId="16">
    <w:abstractNumId w:val="32"/>
  </w:num>
  <w:num w:numId="17">
    <w:abstractNumId w:val="10"/>
  </w:num>
  <w:num w:numId="18">
    <w:abstractNumId w:val="35"/>
  </w:num>
  <w:num w:numId="19">
    <w:abstractNumId w:val="7"/>
  </w:num>
  <w:num w:numId="20">
    <w:abstractNumId w:val="29"/>
  </w:num>
  <w:num w:numId="21">
    <w:abstractNumId w:val="15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6"/>
  </w:num>
  <w:num w:numId="28">
    <w:abstractNumId w:val="22"/>
  </w:num>
  <w:num w:numId="29">
    <w:abstractNumId w:val="14"/>
  </w:num>
  <w:num w:numId="30">
    <w:abstractNumId w:val="5"/>
  </w:num>
  <w:num w:numId="31">
    <w:abstractNumId w:val="9"/>
  </w:num>
  <w:num w:numId="32">
    <w:abstractNumId w:val="38"/>
  </w:num>
  <w:num w:numId="33">
    <w:abstractNumId w:val="16"/>
  </w:num>
  <w:num w:numId="34">
    <w:abstractNumId w:val="8"/>
  </w:num>
  <w:num w:numId="35">
    <w:abstractNumId w:val="6"/>
  </w:num>
  <w:num w:numId="36">
    <w:abstractNumId w:val="23"/>
  </w:num>
  <w:num w:numId="37">
    <w:abstractNumId w:val="4"/>
  </w:num>
  <w:num w:numId="38">
    <w:abstractNumId w:val="3"/>
  </w:num>
  <w:num w:numId="39">
    <w:abstractNumId w:val="18"/>
  </w:num>
  <w:num w:numId="40">
    <w:abstractNumId w:val="27"/>
  </w:num>
  <w:num w:numId="41">
    <w:abstractNumId w:val="30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4"/>
    <w:rsid w:val="000011F0"/>
    <w:rsid w:val="000115FB"/>
    <w:rsid w:val="00012A9F"/>
    <w:rsid w:val="00050010"/>
    <w:rsid w:val="00072A68"/>
    <w:rsid w:val="00072F5B"/>
    <w:rsid w:val="00075932"/>
    <w:rsid w:val="000B7FAA"/>
    <w:rsid w:val="00107AD8"/>
    <w:rsid w:val="00115FE9"/>
    <w:rsid w:val="001317AA"/>
    <w:rsid w:val="00142E8D"/>
    <w:rsid w:val="001471ED"/>
    <w:rsid w:val="00147C09"/>
    <w:rsid w:val="0016118F"/>
    <w:rsid w:val="001612AD"/>
    <w:rsid w:val="001640EF"/>
    <w:rsid w:val="0017335B"/>
    <w:rsid w:val="00180625"/>
    <w:rsid w:val="001933D1"/>
    <w:rsid w:val="001A0597"/>
    <w:rsid w:val="001A50D9"/>
    <w:rsid w:val="001A52DA"/>
    <w:rsid w:val="001B3EED"/>
    <w:rsid w:val="001C13F0"/>
    <w:rsid w:val="001D00BC"/>
    <w:rsid w:val="001D08B3"/>
    <w:rsid w:val="001D3B66"/>
    <w:rsid w:val="001D44EE"/>
    <w:rsid w:val="001E0B07"/>
    <w:rsid w:val="001E1C67"/>
    <w:rsid w:val="001E68FD"/>
    <w:rsid w:val="001F4F72"/>
    <w:rsid w:val="00204731"/>
    <w:rsid w:val="00211508"/>
    <w:rsid w:val="00220584"/>
    <w:rsid w:val="00220902"/>
    <w:rsid w:val="00222519"/>
    <w:rsid w:val="00236EB5"/>
    <w:rsid w:val="002412F1"/>
    <w:rsid w:val="00247502"/>
    <w:rsid w:val="0025102F"/>
    <w:rsid w:val="0025495B"/>
    <w:rsid w:val="00263590"/>
    <w:rsid w:val="00266642"/>
    <w:rsid w:val="00267048"/>
    <w:rsid w:val="002A2E12"/>
    <w:rsid w:val="002B19DE"/>
    <w:rsid w:val="002B4763"/>
    <w:rsid w:val="002E2D3D"/>
    <w:rsid w:val="002E726D"/>
    <w:rsid w:val="002F1F84"/>
    <w:rsid w:val="002F2521"/>
    <w:rsid w:val="002F4A1B"/>
    <w:rsid w:val="002F4D35"/>
    <w:rsid w:val="003025DA"/>
    <w:rsid w:val="00304CC0"/>
    <w:rsid w:val="00307F34"/>
    <w:rsid w:val="003105C3"/>
    <w:rsid w:val="003123C3"/>
    <w:rsid w:val="00316194"/>
    <w:rsid w:val="00322526"/>
    <w:rsid w:val="003269FE"/>
    <w:rsid w:val="003272F8"/>
    <w:rsid w:val="0035317B"/>
    <w:rsid w:val="00370806"/>
    <w:rsid w:val="00371088"/>
    <w:rsid w:val="003755C9"/>
    <w:rsid w:val="003761C7"/>
    <w:rsid w:val="003C7F36"/>
    <w:rsid w:val="003D263D"/>
    <w:rsid w:val="003E609C"/>
    <w:rsid w:val="00402B03"/>
    <w:rsid w:val="00415583"/>
    <w:rsid w:val="00442936"/>
    <w:rsid w:val="004554D1"/>
    <w:rsid w:val="00464259"/>
    <w:rsid w:val="00466769"/>
    <w:rsid w:val="004818F1"/>
    <w:rsid w:val="00484303"/>
    <w:rsid w:val="0049494F"/>
    <w:rsid w:val="00495234"/>
    <w:rsid w:val="004A3805"/>
    <w:rsid w:val="004B0944"/>
    <w:rsid w:val="004B4AC9"/>
    <w:rsid w:val="004B5240"/>
    <w:rsid w:val="004B530A"/>
    <w:rsid w:val="004C175E"/>
    <w:rsid w:val="004C33AD"/>
    <w:rsid w:val="004C485A"/>
    <w:rsid w:val="004C7958"/>
    <w:rsid w:val="004D7E70"/>
    <w:rsid w:val="004E6C63"/>
    <w:rsid w:val="004F16E5"/>
    <w:rsid w:val="00504433"/>
    <w:rsid w:val="0050750B"/>
    <w:rsid w:val="00513DB5"/>
    <w:rsid w:val="00515E7A"/>
    <w:rsid w:val="00525650"/>
    <w:rsid w:val="005355C0"/>
    <w:rsid w:val="005367EF"/>
    <w:rsid w:val="00541E64"/>
    <w:rsid w:val="005552CB"/>
    <w:rsid w:val="00555E34"/>
    <w:rsid w:val="00557688"/>
    <w:rsid w:val="005705C2"/>
    <w:rsid w:val="0057785E"/>
    <w:rsid w:val="005822B6"/>
    <w:rsid w:val="0059707C"/>
    <w:rsid w:val="005A2465"/>
    <w:rsid w:val="005A7C80"/>
    <w:rsid w:val="005B5F8C"/>
    <w:rsid w:val="005B6303"/>
    <w:rsid w:val="005D5057"/>
    <w:rsid w:val="005E0700"/>
    <w:rsid w:val="005E0AEA"/>
    <w:rsid w:val="005E4689"/>
    <w:rsid w:val="005E7A58"/>
    <w:rsid w:val="005F677E"/>
    <w:rsid w:val="00605C89"/>
    <w:rsid w:val="00607D4F"/>
    <w:rsid w:val="006146BB"/>
    <w:rsid w:val="00621141"/>
    <w:rsid w:val="0062214B"/>
    <w:rsid w:val="00630068"/>
    <w:rsid w:val="00630471"/>
    <w:rsid w:val="00661543"/>
    <w:rsid w:val="00666185"/>
    <w:rsid w:val="00674B81"/>
    <w:rsid w:val="006844D4"/>
    <w:rsid w:val="00691EC2"/>
    <w:rsid w:val="0069208E"/>
    <w:rsid w:val="006B14FA"/>
    <w:rsid w:val="006B3E54"/>
    <w:rsid w:val="006C5259"/>
    <w:rsid w:val="006D2F11"/>
    <w:rsid w:val="006D5A55"/>
    <w:rsid w:val="006E22AE"/>
    <w:rsid w:val="006E4373"/>
    <w:rsid w:val="006E6A59"/>
    <w:rsid w:val="006F1057"/>
    <w:rsid w:val="006F1778"/>
    <w:rsid w:val="006F7C07"/>
    <w:rsid w:val="007018D0"/>
    <w:rsid w:val="00703E69"/>
    <w:rsid w:val="007070FC"/>
    <w:rsid w:val="007130EC"/>
    <w:rsid w:val="007163ED"/>
    <w:rsid w:val="0072469E"/>
    <w:rsid w:val="00767A05"/>
    <w:rsid w:val="00770198"/>
    <w:rsid w:val="007709F2"/>
    <w:rsid w:val="0077450C"/>
    <w:rsid w:val="00775D70"/>
    <w:rsid w:val="007855A1"/>
    <w:rsid w:val="00791ACA"/>
    <w:rsid w:val="0079450B"/>
    <w:rsid w:val="00797EB5"/>
    <w:rsid w:val="007A30F8"/>
    <w:rsid w:val="007A4E84"/>
    <w:rsid w:val="007D4B7D"/>
    <w:rsid w:val="007E04DE"/>
    <w:rsid w:val="007E34B6"/>
    <w:rsid w:val="00804C7F"/>
    <w:rsid w:val="008114B2"/>
    <w:rsid w:val="008263B1"/>
    <w:rsid w:val="00840955"/>
    <w:rsid w:val="00870B7A"/>
    <w:rsid w:val="008715CE"/>
    <w:rsid w:val="00893945"/>
    <w:rsid w:val="008A57D1"/>
    <w:rsid w:val="008B1C02"/>
    <w:rsid w:val="008C18A3"/>
    <w:rsid w:val="008D4A83"/>
    <w:rsid w:val="008E1619"/>
    <w:rsid w:val="008E3D18"/>
    <w:rsid w:val="008F06FB"/>
    <w:rsid w:val="009045F9"/>
    <w:rsid w:val="00934C9C"/>
    <w:rsid w:val="00954C12"/>
    <w:rsid w:val="00955995"/>
    <w:rsid w:val="00973D67"/>
    <w:rsid w:val="009834AE"/>
    <w:rsid w:val="00994149"/>
    <w:rsid w:val="00995FBF"/>
    <w:rsid w:val="009B181E"/>
    <w:rsid w:val="009B2566"/>
    <w:rsid w:val="009B6748"/>
    <w:rsid w:val="009B6FBA"/>
    <w:rsid w:val="009C5C09"/>
    <w:rsid w:val="009D115D"/>
    <w:rsid w:val="009D4B1E"/>
    <w:rsid w:val="00A05CF4"/>
    <w:rsid w:val="00A17C36"/>
    <w:rsid w:val="00A2282E"/>
    <w:rsid w:val="00A26E1B"/>
    <w:rsid w:val="00A27E63"/>
    <w:rsid w:val="00A345FA"/>
    <w:rsid w:val="00A444ED"/>
    <w:rsid w:val="00A51C78"/>
    <w:rsid w:val="00A52ED1"/>
    <w:rsid w:val="00A53C7C"/>
    <w:rsid w:val="00A5604F"/>
    <w:rsid w:val="00A56671"/>
    <w:rsid w:val="00A73F41"/>
    <w:rsid w:val="00A84D5A"/>
    <w:rsid w:val="00AB03D6"/>
    <w:rsid w:val="00AB297E"/>
    <w:rsid w:val="00AB74FE"/>
    <w:rsid w:val="00AB7F35"/>
    <w:rsid w:val="00AC2723"/>
    <w:rsid w:val="00AC6A96"/>
    <w:rsid w:val="00AD264F"/>
    <w:rsid w:val="00AF4532"/>
    <w:rsid w:val="00B1515C"/>
    <w:rsid w:val="00B24B49"/>
    <w:rsid w:val="00B274C9"/>
    <w:rsid w:val="00B308AE"/>
    <w:rsid w:val="00B34592"/>
    <w:rsid w:val="00B4287B"/>
    <w:rsid w:val="00B438A0"/>
    <w:rsid w:val="00B43AD3"/>
    <w:rsid w:val="00B47A50"/>
    <w:rsid w:val="00B54D04"/>
    <w:rsid w:val="00B7326F"/>
    <w:rsid w:val="00B74A55"/>
    <w:rsid w:val="00B81BDF"/>
    <w:rsid w:val="00B90289"/>
    <w:rsid w:val="00BA26ED"/>
    <w:rsid w:val="00BB2BE6"/>
    <w:rsid w:val="00BE726B"/>
    <w:rsid w:val="00BF3C71"/>
    <w:rsid w:val="00BF570B"/>
    <w:rsid w:val="00C00FC2"/>
    <w:rsid w:val="00C21BA5"/>
    <w:rsid w:val="00C27B6C"/>
    <w:rsid w:val="00C51AD3"/>
    <w:rsid w:val="00C53E68"/>
    <w:rsid w:val="00C64EE3"/>
    <w:rsid w:val="00C817CF"/>
    <w:rsid w:val="00C87893"/>
    <w:rsid w:val="00C87BBA"/>
    <w:rsid w:val="00CA25AD"/>
    <w:rsid w:val="00CC7E50"/>
    <w:rsid w:val="00CD0318"/>
    <w:rsid w:val="00CE4DEF"/>
    <w:rsid w:val="00CE628D"/>
    <w:rsid w:val="00D1493B"/>
    <w:rsid w:val="00D149D7"/>
    <w:rsid w:val="00D20BE1"/>
    <w:rsid w:val="00D310CD"/>
    <w:rsid w:val="00D32415"/>
    <w:rsid w:val="00D46958"/>
    <w:rsid w:val="00D50C55"/>
    <w:rsid w:val="00D630B9"/>
    <w:rsid w:val="00D667B2"/>
    <w:rsid w:val="00D6757E"/>
    <w:rsid w:val="00D83759"/>
    <w:rsid w:val="00DA602D"/>
    <w:rsid w:val="00DE16FF"/>
    <w:rsid w:val="00E11D6A"/>
    <w:rsid w:val="00E22EDC"/>
    <w:rsid w:val="00E27E90"/>
    <w:rsid w:val="00E31BF3"/>
    <w:rsid w:val="00E5504A"/>
    <w:rsid w:val="00E76225"/>
    <w:rsid w:val="00E825D3"/>
    <w:rsid w:val="00E91725"/>
    <w:rsid w:val="00E95E2C"/>
    <w:rsid w:val="00E96CB6"/>
    <w:rsid w:val="00EB7436"/>
    <w:rsid w:val="00ED22D8"/>
    <w:rsid w:val="00ED3679"/>
    <w:rsid w:val="00ED4D1D"/>
    <w:rsid w:val="00EE302C"/>
    <w:rsid w:val="00F16597"/>
    <w:rsid w:val="00F17626"/>
    <w:rsid w:val="00F33CFC"/>
    <w:rsid w:val="00F4738E"/>
    <w:rsid w:val="00F52B71"/>
    <w:rsid w:val="00F6407B"/>
    <w:rsid w:val="00F77461"/>
    <w:rsid w:val="00F86D6E"/>
    <w:rsid w:val="00F8701B"/>
    <w:rsid w:val="00F874AC"/>
    <w:rsid w:val="00F9374B"/>
    <w:rsid w:val="00F97945"/>
    <w:rsid w:val="00FC0F9B"/>
    <w:rsid w:val="00FC4859"/>
    <w:rsid w:val="00FE38D1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02E0A-8923-4701-B96F-D965771D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  <w:lang w:val="hr-HR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jc w:val="both"/>
      <w:outlineLvl w:val="1"/>
    </w:pPr>
    <w:rPr>
      <w:b/>
      <w:bCs/>
      <w:sz w:val="20"/>
      <w:lang w:val="sr-Cyrl-C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lang w:val="sr-Cyrl-CS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ind w:left="360"/>
      <w:jc w:val="center"/>
      <w:outlineLvl w:val="3"/>
    </w:pPr>
    <w:rPr>
      <w:b/>
      <w:bCs/>
      <w:sz w:val="20"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hr-HR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jc w:val="both"/>
      <w:outlineLvl w:val="5"/>
    </w:pPr>
    <w:rPr>
      <w:b/>
      <w:bCs/>
      <w:sz w:val="22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18"/>
      <w:lang w:val="sr-Cyrl-C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  <w:lang w:val="hr-HR"/>
    </w:rPr>
  </w:style>
  <w:style w:type="paragraph" w:styleId="Heading9">
    <w:name w:val="heading 9"/>
    <w:basedOn w:val="Normal"/>
    <w:next w:val="Normal"/>
    <w:qFormat/>
    <w:pPr>
      <w:keepNext/>
      <w:ind w:left="5040"/>
      <w:outlineLvl w:val="8"/>
    </w:pPr>
    <w:rPr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"/>
    <w:basedOn w:val="Normal"/>
    <w:rPr>
      <w:b/>
      <w:bCs/>
      <w:sz w:val="22"/>
      <w:lang w:val="en-US"/>
    </w:rPr>
  </w:style>
  <w:style w:type="paragraph" w:styleId="BodyText2">
    <w:name w:val="Body Text 2"/>
    <w:basedOn w:val="Normal"/>
    <w:pPr>
      <w:jc w:val="both"/>
    </w:pPr>
    <w:rPr>
      <w:sz w:val="22"/>
      <w:lang w:val="en-US"/>
    </w:rPr>
  </w:style>
  <w:style w:type="paragraph" w:styleId="BodyTextIndent">
    <w:name w:val="Body Text Indent"/>
    <w:basedOn w:val="Normal"/>
    <w:pPr>
      <w:ind w:firstLine="540"/>
      <w:jc w:val="both"/>
    </w:pPr>
    <w:rPr>
      <w:sz w:val="22"/>
      <w:lang w:val="sr-Cyrl-CS"/>
    </w:rPr>
  </w:style>
  <w:style w:type="paragraph" w:styleId="BodyText3">
    <w:name w:val="Body Text 3"/>
    <w:basedOn w:val="Normal"/>
    <w:pPr>
      <w:jc w:val="both"/>
    </w:pPr>
    <w:rPr>
      <w:sz w:val="20"/>
      <w:lang w:val="sr-Cyrl-CS"/>
    </w:rPr>
  </w:style>
  <w:style w:type="character" w:customStyle="1" w:styleId="MessageHeaderLabel">
    <w:name w:val="Message Header Label"/>
    <w:rPr>
      <w:b/>
      <w:bCs/>
      <w:sz w:val="18"/>
    </w:rPr>
  </w:style>
  <w:style w:type="paragraph" w:styleId="BodyTextIndent2">
    <w:name w:val="Body Text Indent 2"/>
    <w:basedOn w:val="Normal"/>
    <w:pPr>
      <w:ind w:firstLine="540"/>
      <w:jc w:val="both"/>
    </w:pPr>
    <w:rPr>
      <w:sz w:val="20"/>
      <w:lang w:val="sr-Cyrl-CS"/>
    </w:rPr>
  </w:style>
  <w:style w:type="paragraph" w:styleId="BodyTextIndent3">
    <w:name w:val="Body Text Indent 3"/>
    <w:basedOn w:val="Normal"/>
    <w:pPr>
      <w:ind w:left="900" w:hanging="360"/>
      <w:jc w:val="both"/>
    </w:pPr>
    <w:rPr>
      <w:sz w:val="20"/>
      <w:lang w:val="sr-Cyrl-CS"/>
    </w:rPr>
  </w:style>
  <w:style w:type="paragraph" w:styleId="NoSpacing">
    <w:name w:val="No Spacing"/>
    <w:link w:val="NoSpacingChar"/>
    <w:uiPriority w:val="99"/>
    <w:qFormat/>
    <w:rsid w:val="00220902"/>
    <w:rPr>
      <w:sz w:val="24"/>
      <w:szCs w:val="24"/>
      <w:lang w:val="hr-HR" w:eastAsia="en-US"/>
    </w:rPr>
  </w:style>
  <w:style w:type="character" w:customStyle="1" w:styleId="NoSpacingChar">
    <w:name w:val="No Spacing Char"/>
    <w:link w:val="NoSpacing"/>
    <w:uiPriority w:val="1"/>
    <w:rsid w:val="00220902"/>
    <w:rPr>
      <w:sz w:val="24"/>
      <w:szCs w:val="24"/>
      <w:lang w:val="hr-HR"/>
    </w:rPr>
  </w:style>
  <w:style w:type="character" w:styleId="SubtleEmphasis">
    <w:name w:val="Subtle Emphasis"/>
    <w:uiPriority w:val="19"/>
    <w:qFormat/>
    <w:rsid w:val="0057785E"/>
    <w:rPr>
      <w:i/>
      <w:iCs/>
      <w:color w:val="404040"/>
    </w:rPr>
  </w:style>
  <w:style w:type="paragraph" w:styleId="BalloonText">
    <w:name w:val="Balloon Text"/>
    <w:basedOn w:val="Normal"/>
    <w:link w:val="BalloonTextChar"/>
    <w:rsid w:val="00904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45F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9)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9)</dc:title>
  <dc:subject/>
  <dc:creator>Miljka Kutić</dc:creator>
  <cp:keywords/>
  <dc:description/>
  <cp:lastModifiedBy>Dragana Vuković</cp:lastModifiedBy>
  <cp:revision>2</cp:revision>
  <cp:lastPrinted>2025-10-02T06:44:00Z</cp:lastPrinted>
  <dcterms:created xsi:type="dcterms:W3CDTF">2025-10-02T06:45:00Z</dcterms:created>
  <dcterms:modified xsi:type="dcterms:W3CDTF">2025-10-02T06:45:00Z</dcterms:modified>
</cp:coreProperties>
</file>