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12" w:rsidRPr="00C52312" w:rsidRDefault="00C52312" w:rsidP="00C52312">
      <w:pPr>
        <w:jc w:val="center"/>
        <w:rPr>
          <w:b/>
        </w:rPr>
      </w:pPr>
      <w:bookmarkStart w:id="0" w:name="_GoBack"/>
      <w:bookmarkEnd w:id="0"/>
      <w:r>
        <w:rPr>
          <w:b/>
        </w:rPr>
        <w:t>HR</w:t>
      </w:r>
    </w:p>
    <w:p w:rsidR="00C52312" w:rsidRPr="00C52312" w:rsidRDefault="00C52312" w:rsidP="00C52312">
      <w:pPr>
        <w:jc w:val="center"/>
        <w:rPr>
          <w:b/>
          <w:u w:val="single"/>
        </w:rPr>
      </w:pPr>
      <w:r>
        <w:rPr>
          <w:b/>
          <w:u w:val="single"/>
        </w:rPr>
        <w:t>PRILOG I.</w:t>
      </w:r>
    </w:p>
    <w:p w:rsidR="00C52312" w:rsidRDefault="00C52312" w:rsidP="00C52312">
      <w:pPr>
        <w:jc w:val="center"/>
        <w:rPr>
          <w:b/>
          <w:noProof/>
        </w:rPr>
      </w:pPr>
    </w:p>
    <w:p w:rsidR="00476EE5" w:rsidRPr="003073E0" w:rsidRDefault="00476EE5" w:rsidP="00476EE5">
      <w:pPr>
        <w:rPr>
          <w:b/>
          <w:noProof/>
        </w:rPr>
      </w:pPr>
      <w:r>
        <w:rPr>
          <w:b/>
          <w:noProof/>
        </w:rPr>
        <w:t>PRORAČUNSKA LINIJA 140201: PROGRAM RADA PROGRAMA CARINA 2020. ZA 2018.</w:t>
      </w:r>
    </w:p>
    <w:p w:rsidR="00476EE5" w:rsidRPr="003073E0" w:rsidRDefault="00476EE5" w:rsidP="00782113">
      <w:pPr>
        <w:pStyle w:val="Heading2"/>
        <w:numPr>
          <w:ilvl w:val="1"/>
          <w:numId w:val="33"/>
        </w:numPr>
        <w:rPr>
          <w:iCs/>
          <w:noProof/>
        </w:rPr>
      </w:pPr>
      <w:r>
        <w:t>Uvod</w:t>
      </w:r>
    </w:p>
    <w:p w:rsidR="00476EE5" w:rsidRPr="0048785B" w:rsidRDefault="00476EE5" w:rsidP="00476EE5">
      <w:pPr>
        <w:spacing w:line="276" w:lineRule="auto"/>
        <w:rPr>
          <w:b/>
          <w:szCs w:val="24"/>
        </w:rPr>
      </w:pPr>
      <w:r>
        <w:rPr>
          <w:b/>
        </w:rPr>
        <w:t>Strateški okvir</w:t>
      </w:r>
    </w:p>
    <w:p w:rsidR="00476EE5" w:rsidRPr="00F46BB3" w:rsidRDefault="00476EE5" w:rsidP="00476EE5">
      <w:r>
        <w:t xml:space="preserve">Programom Carina 2020. osigurava se okvir Unije za </w:t>
      </w:r>
      <w:r>
        <w:rPr>
          <w:b/>
        </w:rPr>
        <w:t>podupiranje funkcioniranja i osuvremenjivanja carinske unije u cilju jačanja unutarnjeg tržišta suradnjom između država sudionica, njihovih carinskih tijela i njihovih službenika</w:t>
      </w:r>
      <w:r>
        <w:t>. U tom smislu, taj je program alat kojim se pridonosi provedbi velikog broja carinskih politika na razini Europske unije:</w:t>
      </w:r>
    </w:p>
    <w:p w:rsidR="00476EE5" w:rsidRPr="00F46BB3" w:rsidRDefault="00476EE5" w:rsidP="00476EE5">
      <w:pPr>
        <w:rPr>
          <w:rFonts w:eastAsia="Calibri"/>
        </w:rPr>
      </w:pPr>
      <w:r>
        <w:t xml:space="preserve">Carinska unija temelj je Europske unije i ključni element u funkcioniranju jedinstvenog tržišta. Jedinstveno tržište može dobro funkcionirati samo ako postoji jedinstvena primjena zajedničkih pravila i na njegovim vanjskim granicama i na carinskom području. Iz toga proizlazi da carinske uprave Unije moraju djelovati kao jedno tijelo i postizati iste rezultate na čitavom području carinske unije. </w:t>
      </w:r>
      <w:r>
        <w:rPr>
          <w:b/>
        </w:rPr>
        <w:t xml:space="preserve">Carinskim zakonikom Unije </w:t>
      </w:r>
      <w:r>
        <w:t>(CZU), uključujući njegove provedbene i delegirane akte,</w:t>
      </w:r>
      <w:r>
        <w:rPr>
          <w:b/>
        </w:rPr>
        <w:t xml:space="preserve"> </w:t>
      </w:r>
      <w:r>
        <w:t xml:space="preserve">namjerava se, među ostalim, omogućiti potpuno osuvremenjivanje carinskih postupaka i zajednička provedba pravila u carinskoj uniji bez kojih ne bi bilo moguće postići jednake uvjete za europsku trgovinu. Budući da ovaj paket uključuje opsežnu promjenu i program prijelaza, jedan od ključnih izazova Unije u narednim godinama i dalje je pravilna provedba CZU-a. U tom smislu, programom Carina 2020. podupire se carinska politika omogućivanjem suradnje u aspektima povezanima s pravilnom provedbom paketa CZU-a i ulaganjem znatnog dijela programskih sredstava u razvoj </w:t>
      </w:r>
      <w:r>
        <w:rPr>
          <w:b/>
        </w:rPr>
        <w:t>ambicioznog skupa</w:t>
      </w:r>
      <w:r>
        <w:t xml:space="preserve"> </w:t>
      </w:r>
      <w:r>
        <w:rPr>
          <w:b/>
        </w:rPr>
        <w:t>elektroničkih carinskih sustava</w:t>
      </w:r>
      <w:r>
        <w:t xml:space="preserve">, kako su predviđeni CZU-om i planovima povezanima s uspostavom elektroničke carine do 2020. pa čak i kasnije. Istovremeno, mora se nastaviti s radom i održavanjem postojećih sustava informacijske tehnologije koji već imaju važnu ulogu u carinskoj uniji. Pored toga, program Carina 2020. iskoristit će se za podizanje razine stručnosti i učinka na isti način u svim carinskim upravama Europske unije stvaranjem niza sveobuhvatnih i dubinskih </w:t>
      </w:r>
      <w:r>
        <w:rPr>
          <w:b/>
        </w:rPr>
        <w:t>modula e-učenja u okviru CZU-a</w:t>
      </w:r>
      <w:r>
        <w:t xml:space="preserve"> i podržavanjem </w:t>
      </w:r>
      <w:r>
        <w:rPr>
          <w:b/>
        </w:rPr>
        <w:t>okvira za razvoj osobnih kompetencija</w:t>
      </w:r>
      <w:r>
        <w:t>, modela kompetencija, vještina i ponašanja za carinske stručnjake. Nadalje, u carinskoj uniji potiče se uporaba digitalnih i suvremenih komunikacijskih alata.</w:t>
      </w:r>
    </w:p>
    <w:p w:rsidR="00476EE5" w:rsidRPr="00F46BB3" w:rsidRDefault="00476EE5" w:rsidP="00476EE5">
      <w:pPr>
        <w:rPr>
          <w:rFonts w:eastAsia="Calibri"/>
        </w:rPr>
      </w:pPr>
      <w:r>
        <w:t xml:space="preserve">Carinske uprave ispunjavaju različite temeljne zadatke: moraju osigurati </w:t>
      </w:r>
      <w:r>
        <w:rPr>
          <w:b/>
        </w:rPr>
        <w:t>nesmetani tijek trgovine</w:t>
      </w:r>
      <w:r>
        <w:t xml:space="preserve"> uz istovremenu primjenu potrebnih kontrola kako bi se </w:t>
      </w:r>
      <w:r>
        <w:rPr>
          <w:b/>
        </w:rPr>
        <w:t>očuvala zaštita, zdravlje i sigurnost</w:t>
      </w:r>
      <w:r>
        <w:t xml:space="preserve"> građana Unije kao i sigurnost </w:t>
      </w:r>
      <w:r>
        <w:rPr>
          <w:b/>
        </w:rPr>
        <w:t>financijskih i gospodarskih interesa</w:t>
      </w:r>
      <w:r>
        <w:t xml:space="preserve"> Unije. Kao što je vidljivo iz njegovih posebnih ciljeva, u programu Carina 2020. s oba ta aspekta postupa se kao s prioritetom i podupire se provedba pojednostavljenih i suvremenih carinskih postupaka, integriranih elektroničkih sustava i metoda kontrole uspostavljenih carinskom politikom Unije i CZU-om. Temeljni posao carinskih uprava postaje složeniji zbog dodatnih izazova i prijetnji kao što su terorističke aktivnosti i rastući uspjeh e-trgovine. Kako bi se proveo zakonodavni carinski okvir Europske unije, svakodnevne aktivnosti carinske unije pojačane su programskim aktivnostima kojima se omogućuje bliska suradnja između samih carinskih uprava kao i suradnja s Komisijom. Programom se podupire i suradnja između carinskih i poreznih tijela kako bi se omogućilo suzbijanje poreznih prijevara i osiguralo ubiranje carina i povezanih poreza. </w:t>
      </w:r>
    </w:p>
    <w:p w:rsidR="00476EE5" w:rsidRPr="00F46BB3" w:rsidRDefault="00476EE5" w:rsidP="00476EE5">
      <w:pPr>
        <w:rPr>
          <w:rFonts w:eastAsia="Calibri"/>
        </w:rPr>
      </w:pPr>
      <w:r>
        <w:t xml:space="preserve">Najvažniji izvor rasta Unije, </w:t>
      </w:r>
      <w:r>
        <w:rPr>
          <w:b/>
        </w:rPr>
        <w:t>legitimna trgovina,</w:t>
      </w:r>
      <w:r>
        <w:t xml:space="preserve"> mora biti u mogućnosti funkcionirati </w:t>
      </w:r>
      <w:r>
        <w:rPr>
          <w:b/>
        </w:rPr>
        <w:t>preko granica</w:t>
      </w:r>
      <w:r>
        <w:t xml:space="preserve"> što je moguće </w:t>
      </w:r>
      <w:r>
        <w:rPr>
          <w:b/>
        </w:rPr>
        <w:t>brže i učinkovitije</w:t>
      </w:r>
      <w:r>
        <w:t xml:space="preserve">. Stoga se u programu Carina 2020. prednost daje </w:t>
      </w:r>
      <w:r>
        <w:lastRenderedPageBreak/>
        <w:t xml:space="preserve">aktivnostima kojima se jača učinkovitost i djelotvornost </w:t>
      </w:r>
      <w:r>
        <w:rPr>
          <w:b/>
        </w:rPr>
        <w:t>carinskih provjera,</w:t>
      </w:r>
      <w:r>
        <w:t xml:space="preserve"> uključujući suradnju s drugim provedbenim agencijama i tijelima uključenima u taj proces. Slijedom toga, programom će se olakšati razvoj okruženja </w:t>
      </w:r>
      <w:r>
        <w:rPr>
          <w:b/>
        </w:rPr>
        <w:t>jedinstvenog prozora</w:t>
      </w:r>
      <w:r>
        <w:t xml:space="preserve"> Europske unije za trgovce, a što se planira postupno i pragmatično kako bi se u obzir uzela složenost struktura Unije i inicijativa država članica. Programom se podupire razvoj sustava za centralizirano carinjenje (pri uvozu i izvozu) kako bi se gospodarskim subjektima omogućilo podnošenje jedinstvene deklaracije za potrebe carine i poreza na dodanu vrijednost i obavljanje njihovih poslova povezanih s carinom preko jedne uprave, neovisno o tome gdje se roba predočuje ili stavlja u carinski postupak. Inicijativa Europske unije za trgovca u skladu s propisima, </w:t>
      </w:r>
      <w:r>
        <w:rPr>
          <w:b/>
        </w:rPr>
        <w:t>program za ovlaštene gospodarske subjekte (AEO),</w:t>
      </w:r>
      <w:r>
        <w:t xml:space="preserve"> kojim se pouzdanim trgovcima koji posluju u skladu s propisima omogućuju olakšice u odnosu na sigurnost i zaštitu te lakši pristup carinskim pojednostavljenjima, pojačana je programskim mjerama koje pridonose usklađenoj provedbi programa, promiču i jačaju njegove koristi i olakšavaju zajedničku procjenu programa za trgovca u skladu s propisima s trećim zemljama.</w:t>
      </w:r>
    </w:p>
    <w:p w:rsidR="00476EE5" w:rsidRPr="00F46BB3" w:rsidRDefault="00476EE5" w:rsidP="00476EE5">
      <w:r>
        <w:t xml:space="preserve">Carinske uprave, kao čuvari granica Europske unije u odnosu na tijek robe, imaju ključnu ulogu u zaštiti Europske unije i njezinih stanovnika, kao i međunarodnih lanaca opskrbe. Programom Carina 2020. podupiru se carinske uprave da odgovore na pojačanu potražnju kako bi se osiguralo da roba štetna za zdravlje i okoliš ne prijeđe nezakonito vanjske granice Europske unije. Programom se mora poduprijeti i carinska unija kako bi ostvarila svoj potencijal u smislu doprinosa sigurnosti i zaštiti u Europi. Programom se stoga podupiru aktivnosti usmjerene na jačanje koordinacije i jedinstvene </w:t>
      </w:r>
      <w:r>
        <w:rPr>
          <w:b/>
        </w:rPr>
        <w:t>provedbe</w:t>
      </w:r>
      <w:r>
        <w:t xml:space="preserve"> </w:t>
      </w:r>
      <w:r>
        <w:rPr>
          <w:b/>
        </w:rPr>
        <w:t>necarinskog zakonodavstva</w:t>
      </w:r>
      <w:r>
        <w:t xml:space="preserve"> od strane carinskih uprava i olakšavanje suradnje među agencijama. Nadalje, u skladu s Europskim programom sigurnosti, to osobito podrazumijeva ojačanu carinsku provjeru robe, uključujući provedbu </w:t>
      </w:r>
      <w:r>
        <w:rPr>
          <w:b/>
        </w:rPr>
        <w:t>Uredbe o kontroli gotovine</w:t>
      </w:r>
      <w:r>
        <w:t xml:space="preserve"> koja se odnosi na gotovinu koja ulazi ili izlazi iz Europske unije, revizijom postojećih instrumenata kako bi se ojačala zakonita </w:t>
      </w:r>
      <w:r>
        <w:rPr>
          <w:b/>
        </w:rPr>
        <w:t>trgovina kulturnim dobrima</w:t>
      </w:r>
      <w:r>
        <w:t xml:space="preserve"> i pomnim praćenjem provedbe zakonodavstva o trgovini </w:t>
      </w:r>
      <w:r>
        <w:rPr>
          <w:b/>
        </w:rPr>
        <w:t>prekursorima za droge</w:t>
      </w:r>
      <w:r>
        <w:t>.</w:t>
      </w:r>
    </w:p>
    <w:p w:rsidR="00476EE5" w:rsidRPr="00F46BB3" w:rsidRDefault="00476EE5" w:rsidP="00476EE5">
      <w:r>
        <w:t xml:space="preserve">Carinske uprave odgovorne su i za borbu, provedbom na granici, protiv sve prisutnije trgovine robom kojom se krše </w:t>
      </w:r>
      <w:r>
        <w:rPr>
          <w:b/>
        </w:rPr>
        <w:t>prava intelektualnog vlasništva</w:t>
      </w:r>
      <w:r>
        <w:t xml:space="preserve"> (IPR), čime se ugrožavaju radna mjesta, rast, inovacije i konkurentnost. Program Carina 2020. pridonosi provedbi mjera utvrđenih u Carinskom akcijskom planu Europske unije za zaštitu prava intelektualnog vlasništva. </w:t>
      </w:r>
    </w:p>
    <w:p w:rsidR="00476EE5" w:rsidRPr="00F46BB3" w:rsidRDefault="00476EE5" w:rsidP="00476EE5">
      <w:pPr>
        <w:rPr>
          <w:rFonts w:eastAsia="Calibri"/>
        </w:rPr>
      </w:pPr>
      <w:r>
        <w:t xml:space="preserve">Osiguravanjem provedbe </w:t>
      </w:r>
      <w:r>
        <w:rPr>
          <w:b/>
        </w:rPr>
        <w:t>Strategije Europske unije i Akcijskog plana za upravljanje rizicima u carinskim pitanjima</w:t>
      </w:r>
      <w:r>
        <w:t>, osim podrške zaštiti financijskog interesa EU-a, pridonosi se i osiguranju sigurnijeg europskog okruženja. Program Carina 2020. ima važnu ulogu u koordiniranoj provedbi ciljeva utvrđenih u Akcijskom planu Strategije i u provedbi mjera utvrđenih u povezanom planu.</w:t>
      </w:r>
    </w:p>
    <w:p w:rsidR="00476EE5" w:rsidRPr="00F46BB3" w:rsidRDefault="00476EE5" w:rsidP="00476EE5">
      <w:r>
        <w:t xml:space="preserve">Po samoj svojoj prirodi carina ima urođenu međunarodnu dimenziju. Izvoz jedne zemlje uvoz je neke druge zemlje. U programu Carina 2020. osigurava se potpora za jačanje </w:t>
      </w:r>
      <w:r>
        <w:rPr>
          <w:b/>
        </w:rPr>
        <w:t>suradnje s trećim zemljama i međunarodnim organizacijama</w:t>
      </w:r>
      <w:r>
        <w:t xml:space="preserve">.  Globalizacijom trgovine postaje sve vidljivije koliku važnost za Uniju ima razmjena iskustava i informacija s trećim zemljama i međunarodnim organizacijama ili tijelima s ciljem olakšavanja trgovine i carinskih postupaka.  U narednom razdoblju od programa Carina 2020. očekuje se doprinos radu Komisije na provedbi i nadogradnji postojećih bilateralnih carinskih sporazuma (Sporazumi o suradnji i uzajamnoj administrativnoj pomoći u carinskim pitanjima) kojima se nastoji olakšati zakonita trgovina i osigurati opskrbni lanac. </w:t>
      </w:r>
    </w:p>
    <w:p w:rsidR="00476EE5" w:rsidRPr="00F46BB3" w:rsidRDefault="00476EE5" w:rsidP="00476EE5">
      <w:r>
        <w:t xml:space="preserve">Programom Carina 2020. financiraju se mjere praćenja provedbe </w:t>
      </w:r>
      <w:r>
        <w:rPr>
          <w:b/>
        </w:rPr>
        <w:t>pravila o podrijetlu</w:t>
      </w:r>
      <w:r>
        <w:t xml:space="preserve"> u povlaštenim trgovinskim aranžmanima Europske unije u skladu s Akcijskim planom iz 2014. i u skladu s preporukama Europskog revizorskog suda iz njegova Posebnog izvješća 2/2014. Poštovanje pravila o podrijetlu, uključujući pravila o administrativnoj suradnji, ključno je za </w:t>
      </w:r>
      <w:r>
        <w:rPr>
          <w:b/>
        </w:rPr>
        <w:t>zaštitu vlastitih resursa Europske unije</w:t>
      </w:r>
      <w:r>
        <w:t xml:space="preserve"> i za vjerodostojnost Unije u pregovorima o </w:t>
      </w:r>
      <w:r>
        <w:lastRenderedPageBreak/>
        <w:t xml:space="preserve">sporazumima o slobodnoj trgovini. Programom Carina 2020. pridonosi se pravilnoj i jedinstvenoj provedbi Zajedničke carinske tarife (ZCT) i ažuriranju </w:t>
      </w:r>
      <w:r>
        <w:rPr>
          <w:b/>
        </w:rPr>
        <w:t>Integrirane tarife Europske unije (TARIC</w:t>
      </w:r>
      <w:r>
        <w:t xml:space="preserve">) koja je od ključne važnosti kako bi se osiguralo da države članice na jednak način primjenjuju ZCT i netarifne mjere i kojom se gospodarskim subjektima osigurava sveobuhvatni pregled mjera koje se primjenjuju kada uvoze robu u Uniju ili je izvoze iz nje te tako štite financijski interesi Unije. </w:t>
      </w:r>
    </w:p>
    <w:p w:rsidR="00476EE5" w:rsidRPr="00F46BB3" w:rsidRDefault="00476EE5" w:rsidP="00476EE5">
      <w:r>
        <w:t xml:space="preserve">U svjetlu složenosti carinske politike, pravilno funkcioniranje carinske unije može se postići samo dobrim </w:t>
      </w:r>
      <w:r>
        <w:rPr>
          <w:b/>
        </w:rPr>
        <w:t>upravljanjem</w:t>
      </w:r>
      <w:r>
        <w:t>. Provedba Komunikacije Komisije o upravljanju carinskom unijom pokretačka je snaga u kratkoročnom, srednjoročnom i dugoročnom razdoblju</w:t>
      </w:r>
      <w:r>
        <w:rPr>
          <w:rStyle w:val="FootnoteReference"/>
        </w:rPr>
        <w:footnoteReference w:id="1"/>
      </w:r>
      <w:r>
        <w:t xml:space="preserve">. Inicijative kojima je cilj pravilno funkcioniranje carinske unije okosnica su mjera iz programa Carina 2020. zajedno s mjerom </w:t>
      </w:r>
      <w:r>
        <w:rPr>
          <w:b/>
        </w:rPr>
        <w:t>Uspješnost carinske unije (CUP)</w:t>
      </w:r>
      <w:r>
        <w:t xml:space="preserve"> kojom se osiguravaju vrijedne informacije i zaključci koji su glavnim dionicima neophodni za strateško odlučivanje i osiguravanje rezultata carinskog rada.</w:t>
      </w:r>
    </w:p>
    <w:p w:rsidR="00476EE5" w:rsidRPr="00F46BB3" w:rsidRDefault="00476EE5" w:rsidP="00476EE5">
      <w:r>
        <w:t>Osigurana je koordinacija s ostalim politikama EU-a i njihovim pratećim programima i fondovima.</w:t>
      </w:r>
    </w:p>
    <w:p w:rsidR="00476EE5" w:rsidRPr="003073E0" w:rsidRDefault="00476EE5" w:rsidP="00476EE5">
      <w:pPr>
        <w:rPr>
          <w:noProof/>
        </w:rPr>
      </w:pPr>
      <w:r>
        <w:t>Na temelju ciljeva navedenih u Uredbi 1294/2013 o donošenju akcijskog programa za poboljšanje rada carinskih tijela u Europskoj uniji za razdoblje 2014. – 2020. ovaj program rada sadržava mjere koje će se financirati i raščlambu proračuna za 2018. kako slijedi</w:t>
      </w:r>
      <w:r>
        <w:rPr>
          <w:rStyle w:val="FootnoteReference"/>
        </w:rPr>
        <w:footnoteReference w:id="2"/>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tcPr>
          <w:p w:rsidR="00476EE5" w:rsidRPr="007E3949" w:rsidRDefault="00476EE5" w:rsidP="00782113">
            <w:pPr>
              <w:pStyle w:val="Tiret0"/>
              <w:numPr>
                <w:ilvl w:val="0"/>
                <w:numId w:val="31"/>
              </w:numPr>
              <w:rPr>
                <w:noProof/>
              </w:rPr>
            </w:pPr>
            <w:r>
              <w:t>za bespovratna sredstva (provedba u okviru izravnog upravljanja) (1.2.): 8 150 000 EUR,</w:t>
            </w:r>
          </w:p>
          <w:p w:rsidR="00476EE5" w:rsidRPr="007E3949" w:rsidRDefault="00476EE5" w:rsidP="00782113">
            <w:pPr>
              <w:pStyle w:val="Tiret0"/>
              <w:numPr>
                <w:ilvl w:val="0"/>
                <w:numId w:val="35"/>
              </w:numPr>
              <w:rPr>
                <w:noProof/>
              </w:rPr>
            </w:pPr>
            <w:r>
              <w:t>za javnu nabavu (provedba u okviru izravnog upravljanja) (1.3.): 71 671 000 EUR,</w:t>
            </w:r>
          </w:p>
          <w:p w:rsidR="00476EE5" w:rsidRPr="007E3949" w:rsidRDefault="00476EE5" w:rsidP="00782113">
            <w:pPr>
              <w:pStyle w:val="Tiret0"/>
              <w:numPr>
                <w:ilvl w:val="0"/>
                <w:numId w:val="35"/>
              </w:numPr>
              <w:rPr>
                <w:noProof/>
              </w:rPr>
            </w:pPr>
            <w:r>
              <w:t>za ostale mjere (nadoknada troškova vanjskim stručnjacima) (1.4.): 250 000 EUR.</w:t>
            </w:r>
            <w:r>
              <w:tab/>
            </w:r>
          </w:p>
          <w:p w:rsidR="00476EE5" w:rsidRPr="008A7CD5" w:rsidRDefault="00476EE5" w:rsidP="00472459">
            <w:pPr>
              <w:rPr>
                <w:noProof/>
              </w:rPr>
            </w:pPr>
            <w:r>
              <w:t>UKUPNO mjere: 80 071 000 EUR.</w:t>
            </w:r>
          </w:p>
        </w:tc>
      </w:tr>
    </w:tbl>
    <w:p w:rsidR="00476EE5" w:rsidRPr="003073E0" w:rsidRDefault="00476EE5" w:rsidP="00476EE5">
      <w:pPr>
        <w:pStyle w:val="Heading2"/>
        <w:rPr>
          <w:iCs/>
          <w:noProof/>
        </w:rPr>
      </w:pPr>
      <w:r>
        <w:t>Bespovratna sredstva</w:t>
      </w:r>
    </w:p>
    <w:p w:rsidR="00476EE5" w:rsidRPr="003073E0" w:rsidRDefault="00476EE5" w:rsidP="00476EE5">
      <w:pPr>
        <w:pStyle w:val="Heading3"/>
        <w:rPr>
          <w:noProof/>
        </w:rPr>
      </w:pPr>
      <w:r>
        <w:t>Bespovratna sredstva za zajedničke aktivnosti</w:t>
      </w:r>
    </w:p>
    <w:p w:rsidR="00476EE5" w:rsidRPr="003073E0" w:rsidRDefault="00476EE5" w:rsidP="00476EE5">
      <w:pPr>
        <w:rPr>
          <w:noProof/>
        </w:rPr>
      </w:pPr>
      <w:r>
        <w:t>PRAVNA OSNOVA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t>Članak 5. stavak 2. i članak 7. točka (a) podtočke i. – iv. i vi. – ix. Uredbe (EU) br. 1294/2013</w:t>
            </w:r>
          </w:p>
          <w:p w:rsidR="00476EE5" w:rsidRPr="003073E0" w:rsidRDefault="00476EE5" w:rsidP="00472459">
            <w:pPr>
              <w:rPr>
                <w:noProof/>
              </w:rPr>
            </w:pPr>
            <w:r>
              <w:rPr>
                <w:b/>
                <w:noProof/>
              </w:rPr>
              <w:t xml:space="preserve">Posebni cilj: </w:t>
            </w:r>
            <w:r>
              <w:t>potpora carinskim tijelima za zaštitu financijskih i gospodarskih interesa Unije i država članica, uključujući borbu protiv prijevare i zaštitu prava intelektualnog vlasništva, za povećanje sigurnosti i zaštite, zaštitu građana i okoliša, poboljšanje administrativnih kapaciteta carinskih tijela i jačanje konkurentnosti europskih poduzeća.</w:t>
            </w:r>
          </w:p>
        </w:tc>
      </w:tr>
    </w:tbl>
    <w:p w:rsidR="00476EE5" w:rsidRPr="003073E0" w:rsidRDefault="00476EE5" w:rsidP="00472459">
      <w:pPr>
        <w:keepNext/>
        <w:keepLines/>
        <w:rPr>
          <w:noProof/>
        </w:rPr>
      </w:pPr>
      <w:r>
        <w:t>PRORAČUNSKA LINIJA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t>14 02 01</w:t>
            </w:r>
          </w:p>
        </w:tc>
      </w:tr>
    </w:tbl>
    <w:p w:rsidR="00476EE5" w:rsidRPr="003073E0" w:rsidRDefault="00476EE5" w:rsidP="00476EE5">
      <w:pPr>
        <w:rPr>
          <w:noProof/>
        </w:rPr>
      </w:pPr>
      <w:r>
        <w:t xml:space="preserve">Godišnji prioriteti, ciljevi i očekivani rezultati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416"/>
        </w:trPr>
        <w:tc>
          <w:tcPr>
            <w:tcW w:w="9286" w:type="dxa"/>
          </w:tcPr>
          <w:p w:rsidR="00476EE5" w:rsidRPr="00F46BB3" w:rsidRDefault="00476EE5" w:rsidP="00472459">
            <w:pPr>
              <w:rPr>
                <w:noProof/>
              </w:rPr>
            </w:pPr>
            <w:r>
              <w:lastRenderedPageBreak/>
              <w:t>Program je alat kojim se podupire oblikovanje i provedba opće carinske politike na razini Europske unije. Opći cilj programa Carina 2020. je poduprijeti funkcioniranje i osuvremenjivanje carinske unije u cilju jačanja unutarnjeg tržišta suradnjom između država sudionica, njihovih carinskih tijela i njihovih službenika. Cilj je Programa uspješno pridonijeti ostvarenju strategije Europa 2020. za pametan, održiv i uključiv razvoj jačanjem funkcioniranja unutarnjeg tržišta.</w:t>
            </w:r>
          </w:p>
          <w:p w:rsidR="00476EE5" w:rsidRPr="00F46BB3" w:rsidRDefault="00476EE5" w:rsidP="00472459">
            <w:r>
              <w:t>Bespovratna sredstva usmjerena su na provedbu sljedećih prioriteta za 2018.:</w:t>
            </w:r>
          </w:p>
          <w:p w:rsidR="00476EE5" w:rsidRPr="00F46BB3" w:rsidRDefault="00476EE5" w:rsidP="00782113">
            <w:pPr>
              <w:pStyle w:val="Tiret0"/>
              <w:numPr>
                <w:ilvl w:val="0"/>
                <w:numId w:val="31"/>
              </w:numPr>
              <w:rPr>
                <w:rFonts w:eastAsia="Calibri"/>
              </w:rPr>
            </w:pPr>
            <w:r>
              <w:t>provedba Carinskog zakonika Unije (CZU) i razvoj i uvođenje elektroničkih carinskih sustava,</w:t>
            </w:r>
          </w:p>
          <w:p w:rsidR="00476EE5" w:rsidRPr="00F46BB3" w:rsidRDefault="00476EE5" w:rsidP="00782113">
            <w:pPr>
              <w:pStyle w:val="Tiret0"/>
              <w:numPr>
                <w:ilvl w:val="0"/>
                <w:numId w:val="35"/>
              </w:numPr>
            </w:pPr>
            <w:r>
              <w:t xml:space="preserve">olakšavanje zakonite trgovine i jačanje učinkovitosti i djelotvornosti carinskih provjera, uključujući suradnju s drugim provedbenim agencijama i tijelima uključenima u taj proces, </w:t>
            </w:r>
          </w:p>
          <w:p w:rsidR="00476EE5" w:rsidRPr="00F46BB3" w:rsidRDefault="00476EE5" w:rsidP="00782113">
            <w:pPr>
              <w:pStyle w:val="Tiret0"/>
              <w:numPr>
                <w:ilvl w:val="0"/>
                <w:numId w:val="35"/>
              </w:numPr>
              <w:rPr>
                <w:rFonts w:eastAsia="Calibri"/>
              </w:rPr>
            </w:pPr>
            <w:r>
              <w:t xml:space="preserve">odgovor na pojačanu potrebu da carina osigura da se roba štetna za sigurnost, zdravlje, zaštitu i okoliš propisno pregleda pri prelasku vanjske granice Europske unije uzimajući u obzir nova ograničenja zbog sve većeg uspjeha e-trgovine, </w:t>
            </w:r>
          </w:p>
          <w:p w:rsidR="00476EE5" w:rsidRPr="00F46BB3" w:rsidRDefault="00476EE5" w:rsidP="00782113">
            <w:pPr>
              <w:pStyle w:val="Tiret0"/>
              <w:numPr>
                <w:ilvl w:val="0"/>
                <w:numId w:val="35"/>
              </w:numPr>
            </w:pPr>
            <w:r>
              <w:t>provedba Strategije Europske unije i Akcijskog plana za upravljanje rizicima u carinskim pitanjima,</w:t>
            </w:r>
          </w:p>
          <w:p w:rsidR="00476EE5" w:rsidRPr="00F46BB3" w:rsidRDefault="00476EE5" w:rsidP="00782113">
            <w:pPr>
              <w:pStyle w:val="Tiret0"/>
              <w:numPr>
                <w:ilvl w:val="0"/>
                <w:numId w:val="35"/>
              </w:numPr>
            </w:pPr>
            <w:r>
              <w:t xml:space="preserve">suradnja s trećim zemljama i međunarodnim organizacijama, </w:t>
            </w:r>
          </w:p>
          <w:p w:rsidR="00476EE5" w:rsidRPr="00F46BB3" w:rsidRDefault="00476EE5" w:rsidP="00782113">
            <w:pPr>
              <w:pStyle w:val="Tiret0"/>
              <w:numPr>
                <w:ilvl w:val="0"/>
                <w:numId w:val="35"/>
              </w:numPr>
            </w:pPr>
            <w:r>
              <w:t>provedba mjere Uspješnost carinske unije (CUP),</w:t>
            </w:r>
          </w:p>
          <w:p w:rsidR="00476EE5" w:rsidRPr="00F46BB3" w:rsidRDefault="00476EE5" w:rsidP="00782113">
            <w:pPr>
              <w:pStyle w:val="Tiret0"/>
              <w:numPr>
                <w:ilvl w:val="0"/>
                <w:numId w:val="35"/>
              </w:numPr>
              <w:rPr>
                <w:rFonts w:eastAsia="Calibri"/>
              </w:rPr>
            </w:pPr>
            <w:r>
              <w:t>provedba okvira za razvoj osobnih kompetencija za carine.</w:t>
            </w:r>
          </w:p>
          <w:p w:rsidR="00476EE5" w:rsidRPr="003073E0" w:rsidRDefault="00476EE5" w:rsidP="00472459">
            <w:pPr>
              <w:rPr>
                <w:noProof/>
              </w:rPr>
            </w:pPr>
            <w:r>
              <w:t>Očekivani rezultat: Provedba događaja za zajedničke aktivnosti u okviru programa (broj cilja: 380) radi provedbe projekata politike opisanih u dodatku.</w:t>
            </w:r>
          </w:p>
        </w:tc>
      </w:tr>
    </w:tbl>
    <w:p w:rsidR="00476EE5" w:rsidRPr="003073E0" w:rsidRDefault="00476EE5" w:rsidP="00476EE5">
      <w:pPr>
        <w:rPr>
          <w:noProof/>
        </w:rPr>
      </w:pPr>
      <w:r>
        <w:t>Opis aktivnosti koje će se financirati bespovratnim sredstvima koja se dodjeljuju bez poziva na podnošenje prijedloga na temelju članka 190. stavka 1. točke (f) Delegirane uredbe (EU) br. 1268/2012</w:t>
      </w:r>
      <w:r>
        <w:rPr>
          <w:rStyle w:val="FootnoteReference"/>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tcPr>
          <w:p w:rsidR="00476EE5" w:rsidRPr="006A6002" w:rsidRDefault="00476EE5" w:rsidP="00472459">
            <w:pPr>
              <w:rPr>
                <w:rFonts w:eastAsia="Calibri"/>
                <w:b/>
                <w:noProof/>
              </w:rPr>
            </w:pPr>
            <w:r>
              <w:rPr>
                <w:b/>
                <w:noProof/>
              </w:rPr>
              <w:t xml:space="preserve">Bespovratnim sredstvima financirat će se aktivnosti za: </w:t>
            </w:r>
          </w:p>
          <w:p w:rsidR="00476EE5" w:rsidRPr="00F46BB3" w:rsidRDefault="00476EE5" w:rsidP="00782113">
            <w:pPr>
              <w:pStyle w:val="Tiret0"/>
              <w:numPr>
                <w:ilvl w:val="0"/>
                <w:numId w:val="35"/>
              </w:numPr>
              <w:rPr>
                <w:noProof/>
              </w:rPr>
            </w:pPr>
            <w:r>
              <w:t xml:space="preserve">potporu pripremi, dosljednoj primjeni i učinkovitoj provedbi prava i politika Unije u području carine, </w:t>
            </w:r>
          </w:p>
          <w:p w:rsidR="00476EE5" w:rsidRPr="00F46BB3" w:rsidRDefault="00476EE5" w:rsidP="00782113">
            <w:pPr>
              <w:pStyle w:val="Tiret0"/>
              <w:numPr>
                <w:ilvl w:val="0"/>
                <w:numId w:val="35"/>
              </w:numPr>
              <w:rPr>
                <w:noProof/>
              </w:rPr>
            </w:pPr>
            <w:r>
              <w:t xml:space="preserve">poboljšanje europskih informacijskih sustava za carinu, </w:t>
            </w:r>
          </w:p>
          <w:p w:rsidR="00476EE5" w:rsidRPr="00F46BB3" w:rsidRDefault="00476EE5" w:rsidP="00782113">
            <w:pPr>
              <w:pStyle w:val="Tiret0"/>
              <w:numPr>
                <w:ilvl w:val="0"/>
                <w:numId w:val="35"/>
              </w:numPr>
              <w:rPr>
                <w:rFonts w:ascii="EUAlbertina" w:hAnsi="EUAlbertina" w:cs="EUAlbertina"/>
                <w:noProof/>
              </w:rPr>
            </w:pPr>
            <w:r>
              <w:t>prepoznavanje, razvoj, dijeljenje i primjenu najboljih radnih praksi i administrativnih postupaka, osobito na temelju aktivnosti usporedne analize,</w:t>
            </w:r>
            <w:r>
              <w:rPr>
                <w:rFonts w:ascii="EUAlbertina" w:hAnsi="EUAlbertina"/>
                <w:noProof/>
              </w:rPr>
              <w:t xml:space="preserve"> </w:t>
            </w:r>
          </w:p>
          <w:p w:rsidR="00476EE5" w:rsidRPr="00F46BB3" w:rsidRDefault="00476EE5" w:rsidP="00782113">
            <w:pPr>
              <w:pStyle w:val="Tiret0"/>
              <w:numPr>
                <w:ilvl w:val="0"/>
                <w:numId w:val="35"/>
              </w:numPr>
              <w:rPr>
                <w:rFonts w:ascii="EUAlbertina" w:hAnsi="EUAlbertina" w:cs="EUAlbertina"/>
                <w:noProof/>
              </w:rPr>
            </w:pPr>
            <w:r>
              <w:t>jačanje vještina i kompetencija carinskih službenika,</w:t>
            </w:r>
            <w:r>
              <w:rPr>
                <w:rFonts w:ascii="EUAlbertina" w:hAnsi="EUAlbertina"/>
                <w:noProof/>
              </w:rPr>
              <w:t xml:space="preserve"> </w:t>
            </w:r>
          </w:p>
          <w:p w:rsidR="00476EE5" w:rsidRPr="00F46BB3" w:rsidRDefault="00476EE5" w:rsidP="00782113">
            <w:pPr>
              <w:pStyle w:val="Tiret0"/>
              <w:numPr>
                <w:ilvl w:val="0"/>
                <w:numId w:val="35"/>
              </w:numPr>
              <w:rPr>
                <w:rFonts w:eastAsia="Calibri"/>
                <w:noProof/>
              </w:rPr>
            </w:pPr>
            <w:r>
              <w:t>poboljšanje suradnje između carinskih tijela i međunarodnih organizacija, trećih zemalja, ostalih mjerodavnih državnih tijela, uključujući tijela za nadzor nacionalnih tržišta i tržišta Unije, te gospodarske subjekte i organizacije koje predstavljaju gospodarske subjekte.</w:t>
            </w:r>
          </w:p>
          <w:p w:rsidR="00476EE5" w:rsidRPr="00F46BB3" w:rsidRDefault="00476EE5" w:rsidP="00472459">
            <w:pPr>
              <w:rPr>
                <w:rFonts w:eastAsia="Calibri"/>
                <w:noProof/>
              </w:rPr>
            </w:pPr>
            <w:r>
              <w:t>Aktivnosti će se provoditi u sljedećem obliku:</w:t>
            </w:r>
          </w:p>
          <w:p w:rsidR="00476EE5" w:rsidRPr="00F46BB3" w:rsidRDefault="00476EE5" w:rsidP="00782113">
            <w:pPr>
              <w:pStyle w:val="Tiret0"/>
              <w:numPr>
                <w:ilvl w:val="0"/>
                <w:numId w:val="35"/>
              </w:numPr>
              <w:rPr>
                <w:rFonts w:eastAsia="Calibri"/>
                <w:noProof/>
              </w:rPr>
            </w:pPr>
            <w:r>
              <w:t>i. seminari i radionice;</w:t>
            </w:r>
          </w:p>
          <w:p w:rsidR="00476EE5" w:rsidRPr="00F46BB3" w:rsidRDefault="00476EE5" w:rsidP="00782113">
            <w:pPr>
              <w:pStyle w:val="Tiret0"/>
              <w:numPr>
                <w:ilvl w:val="0"/>
                <w:numId w:val="35"/>
              </w:numPr>
              <w:rPr>
                <w:rFonts w:eastAsia="Calibri"/>
                <w:noProof/>
              </w:rPr>
            </w:pPr>
            <w:r>
              <w:lastRenderedPageBreak/>
              <w:t>ii. projektne skupine;</w:t>
            </w:r>
          </w:p>
          <w:p w:rsidR="00476EE5" w:rsidRPr="00F46BB3" w:rsidRDefault="00476EE5" w:rsidP="00782113">
            <w:pPr>
              <w:pStyle w:val="Tiret0"/>
              <w:numPr>
                <w:ilvl w:val="0"/>
                <w:numId w:val="35"/>
              </w:numPr>
              <w:rPr>
                <w:rFonts w:eastAsia="Calibri"/>
                <w:noProof/>
              </w:rPr>
            </w:pPr>
            <w:r>
              <w:t>iii. radne posjete;</w:t>
            </w:r>
          </w:p>
          <w:p w:rsidR="00476EE5" w:rsidRPr="00F46BB3" w:rsidRDefault="00476EE5" w:rsidP="00782113">
            <w:pPr>
              <w:pStyle w:val="Tiret0"/>
              <w:numPr>
                <w:ilvl w:val="0"/>
                <w:numId w:val="35"/>
              </w:numPr>
              <w:rPr>
                <w:rFonts w:eastAsia="Calibri"/>
                <w:noProof/>
              </w:rPr>
            </w:pPr>
            <w:r>
              <w:t>iv. aktivnosti praćenja;</w:t>
            </w:r>
          </w:p>
          <w:p w:rsidR="00476EE5" w:rsidRPr="00F46BB3" w:rsidRDefault="00476EE5" w:rsidP="00782113">
            <w:pPr>
              <w:pStyle w:val="Tiret0"/>
              <w:numPr>
                <w:ilvl w:val="0"/>
                <w:numId w:val="35"/>
              </w:numPr>
              <w:rPr>
                <w:rFonts w:eastAsia="Calibri"/>
                <w:noProof/>
              </w:rPr>
            </w:pPr>
            <w:r>
              <w:t>v. izgradnja kapaciteta carinskih uprava i popratne mjere;</w:t>
            </w:r>
          </w:p>
          <w:p w:rsidR="00476EE5" w:rsidRPr="00F46BB3" w:rsidRDefault="00476EE5" w:rsidP="00782113">
            <w:pPr>
              <w:pStyle w:val="Tiret0"/>
              <w:numPr>
                <w:ilvl w:val="0"/>
                <w:numId w:val="35"/>
              </w:numPr>
              <w:rPr>
                <w:rFonts w:eastAsia="Calibri"/>
                <w:noProof/>
              </w:rPr>
            </w:pPr>
            <w:r>
              <w:t>vi. studije;</w:t>
            </w:r>
          </w:p>
          <w:p w:rsidR="00476EE5" w:rsidRPr="00F46BB3" w:rsidRDefault="00476EE5" w:rsidP="00782113">
            <w:pPr>
              <w:pStyle w:val="Tiret0"/>
              <w:numPr>
                <w:ilvl w:val="0"/>
                <w:numId w:val="35"/>
              </w:numPr>
              <w:rPr>
                <w:rFonts w:eastAsia="Calibri"/>
                <w:noProof/>
              </w:rPr>
            </w:pPr>
            <w:r>
              <w:t>vii. zajednički razvijene mjere komunikacije;</w:t>
            </w:r>
          </w:p>
          <w:p w:rsidR="00476EE5" w:rsidRPr="003073E0" w:rsidRDefault="00476EE5" w:rsidP="00782113">
            <w:pPr>
              <w:pStyle w:val="Tiret0"/>
              <w:numPr>
                <w:ilvl w:val="0"/>
                <w:numId w:val="35"/>
              </w:numPr>
              <w:rPr>
                <w:noProof/>
              </w:rPr>
            </w:pPr>
            <w:r>
              <w:t xml:space="preserve">viii. sve ostale mjere kojima se podupiru opći, posebni i operativni ciljevi. </w:t>
            </w:r>
          </w:p>
        </w:tc>
      </w:tr>
    </w:tbl>
    <w:p w:rsidR="00476EE5" w:rsidRDefault="00476EE5" w:rsidP="00476EE5">
      <w:pPr>
        <w:keepNext/>
        <w:keepLines/>
        <w:rPr>
          <w:noProof/>
        </w:rPr>
      </w:pPr>
      <w:r>
        <w:lastRenderedPageBreak/>
        <w:t>Osnovni kriteriji prihvatljivosti i odabira te kriteriji za dodjelu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FD2529">
        <w:trPr>
          <w:trHeight w:val="415"/>
        </w:trPr>
        <w:tc>
          <w:tcPr>
            <w:tcW w:w="9286" w:type="dxa"/>
          </w:tcPr>
          <w:p w:rsidR="00476EE5" w:rsidRPr="00DF0165" w:rsidRDefault="00476EE5" w:rsidP="00472459">
            <w:pPr>
              <w:rPr>
                <w:rFonts w:eastAsia="Calibri"/>
                <w:b/>
                <w:noProof/>
              </w:rPr>
            </w:pPr>
            <w:r>
              <w:rPr>
                <w:b/>
                <w:noProof/>
              </w:rPr>
              <w:t>Bespovratna sredstva dodjeljuju se na temelju sljedećih kriterija:</w:t>
            </w:r>
          </w:p>
          <w:p w:rsidR="00476EE5" w:rsidRPr="006A6002" w:rsidRDefault="00476EE5" w:rsidP="00472459">
            <w:pPr>
              <w:rPr>
                <w:rFonts w:eastAsia="Calibri"/>
                <w:b/>
                <w:i/>
                <w:noProof/>
              </w:rPr>
            </w:pPr>
            <w:r>
              <w:rPr>
                <w:b/>
                <w:i/>
                <w:noProof/>
              </w:rPr>
              <w:t>Kriteriji prihvatljivosti</w:t>
            </w:r>
          </w:p>
          <w:p w:rsidR="00476EE5" w:rsidRPr="00F46BB3" w:rsidRDefault="00476EE5" w:rsidP="00472459">
            <w:pPr>
              <w:rPr>
                <w:rFonts w:eastAsia="Calibri"/>
                <w:noProof/>
              </w:rPr>
            </w:pPr>
            <w:r>
              <w:t>Korisnici bespovratnih sredstava bit će države članice i druge prihvatljive države koje ispunjavaju uvjete za sudjelovanje iz članka 3. Uredbe (EU) br. 1294/2013 u okviru sporazuma o dodjeli bespovratnih sredstava s više korisnika.</w:t>
            </w:r>
          </w:p>
          <w:p w:rsidR="00476EE5" w:rsidRPr="00F46BB3" w:rsidRDefault="00476EE5" w:rsidP="00472459">
            <w:pPr>
              <w:rPr>
                <w:rFonts w:eastAsia="Calibri"/>
                <w:noProof/>
              </w:rPr>
            </w:pPr>
            <w:r>
              <w:t xml:space="preserve">Predložene aktivnosti moraju biti dio prihvatljivih mjera iz članka 7. točke (a) podtočaka i. do ix. osim podtočke v. Uredbe (EU) br. 1294/2013. </w:t>
            </w:r>
          </w:p>
          <w:p w:rsidR="00476EE5" w:rsidRPr="00CF1D14" w:rsidRDefault="00476EE5" w:rsidP="00472459">
            <w:pPr>
              <w:rPr>
                <w:rFonts w:eastAsia="Calibri"/>
                <w:b/>
                <w:i/>
                <w:noProof/>
              </w:rPr>
            </w:pPr>
            <w:r>
              <w:rPr>
                <w:b/>
                <w:i/>
                <w:noProof/>
              </w:rPr>
              <w:t>Kriteriji za odabir</w:t>
            </w:r>
          </w:p>
          <w:p w:rsidR="00476EE5" w:rsidRPr="00F46BB3" w:rsidRDefault="00476EE5" w:rsidP="00472459">
            <w:pPr>
              <w:rPr>
                <w:rFonts w:eastAsia="Calibri"/>
                <w:noProof/>
              </w:rPr>
            </w:pPr>
            <w:r>
              <w:t>U skladu s člankom 131. stavkom 3. Uredbe (EU, EURATOM) br. 966/2012, financijski i operativni kapaciteti korisnika neće se provjeravati jer su korisnici javne uprave.</w:t>
            </w:r>
          </w:p>
          <w:p w:rsidR="00FD2529" w:rsidRDefault="00FD2529" w:rsidP="00FD2529">
            <w:pPr>
              <w:keepNext/>
              <w:keepLines/>
              <w:rPr>
                <w:rFonts w:eastAsia="Calibri"/>
                <w:b/>
                <w:i/>
                <w:noProof/>
              </w:rPr>
            </w:pPr>
          </w:p>
          <w:p w:rsidR="00476EE5" w:rsidRPr="00CF1D14" w:rsidRDefault="00476EE5" w:rsidP="00FD2529">
            <w:pPr>
              <w:keepNext/>
              <w:keepLines/>
              <w:rPr>
                <w:rFonts w:eastAsia="Calibri"/>
                <w:b/>
                <w:i/>
                <w:noProof/>
              </w:rPr>
            </w:pPr>
            <w:r>
              <w:rPr>
                <w:b/>
                <w:i/>
                <w:noProof/>
              </w:rPr>
              <w:t>Kriteriji za dodjelu</w:t>
            </w:r>
          </w:p>
          <w:p w:rsidR="00476EE5" w:rsidRPr="003073E0" w:rsidRDefault="00476EE5" w:rsidP="00472459">
            <w:pPr>
              <w:rPr>
                <w:noProof/>
              </w:rPr>
            </w:pPr>
            <w:r>
              <w:t>Bespovratna sredstva dodijelit će se na temelju njihove važnosti i troškovne učinkovitosti u pogledu postizanja ciljeva i očekivanih rezultata projekata politike navedenih u dodatku.</w:t>
            </w:r>
          </w:p>
        </w:tc>
      </w:tr>
    </w:tbl>
    <w:p w:rsidR="00476EE5" w:rsidRPr="003073E0" w:rsidRDefault="00476EE5" w:rsidP="00476EE5">
      <w:pPr>
        <w:rPr>
          <w:noProof/>
        </w:rPr>
      </w:pPr>
      <w:r>
        <w:t>Provodi</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t>GU TAXUD</w:t>
            </w:r>
          </w:p>
        </w:tc>
      </w:tr>
    </w:tbl>
    <w:p w:rsidR="00476EE5" w:rsidRPr="003073E0" w:rsidRDefault="00476EE5" w:rsidP="00472459">
      <w:pPr>
        <w:keepNext/>
        <w:keepLines/>
        <w:rPr>
          <w:noProof/>
        </w:rPr>
      </w:pPr>
      <w:r>
        <w:t>Okvirni vremenski raspored i okvirni iznos bespovratnih sredstava koja se dodjeljuju bez poziva za podnošenje prijedloga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14"/>
        <w:gridCol w:w="3032"/>
      </w:tblGrid>
      <w:tr w:rsidR="00476EE5" w:rsidRPr="003073E0" w:rsidTr="00472459">
        <w:tc>
          <w:tcPr>
            <w:tcW w:w="3095" w:type="dxa"/>
            <w:shd w:val="clear" w:color="auto" w:fill="auto"/>
          </w:tcPr>
          <w:p w:rsidR="00476EE5" w:rsidRPr="006A6002" w:rsidRDefault="00476EE5" w:rsidP="00472459">
            <w:pPr>
              <w:jc w:val="center"/>
              <w:rPr>
                <w:b/>
                <w:noProof/>
              </w:rPr>
            </w:pPr>
            <w:r>
              <w:rPr>
                <w:b/>
                <w:noProof/>
              </w:rPr>
              <w:t>Referenca</w:t>
            </w:r>
          </w:p>
        </w:tc>
        <w:tc>
          <w:tcPr>
            <w:tcW w:w="3095" w:type="dxa"/>
            <w:shd w:val="clear" w:color="auto" w:fill="auto"/>
          </w:tcPr>
          <w:p w:rsidR="00476EE5" w:rsidRPr="006A6002" w:rsidRDefault="00476EE5" w:rsidP="00472459">
            <w:pPr>
              <w:jc w:val="center"/>
              <w:rPr>
                <w:b/>
                <w:noProof/>
              </w:rPr>
            </w:pPr>
            <w:r>
              <w:rPr>
                <w:b/>
                <w:noProof/>
              </w:rPr>
              <w:t>Datum</w:t>
            </w:r>
          </w:p>
        </w:tc>
        <w:tc>
          <w:tcPr>
            <w:tcW w:w="3095" w:type="dxa"/>
            <w:shd w:val="clear" w:color="auto" w:fill="auto"/>
          </w:tcPr>
          <w:p w:rsidR="00476EE5" w:rsidRPr="006A6002" w:rsidRDefault="00476EE5" w:rsidP="00472459">
            <w:pPr>
              <w:jc w:val="center"/>
              <w:rPr>
                <w:b/>
                <w:noProof/>
              </w:rPr>
            </w:pPr>
            <w:r>
              <w:rPr>
                <w:b/>
                <w:noProof/>
              </w:rPr>
              <w:t>Iznos</w:t>
            </w:r>
          </w:p>
        </w:tc>
      </w:tr>
      <w:tr w:rsidR="00476EE5" w:rsidRPr="003073E0" w:rsidTr="00472459">
        <w:tc>
          <w:tcPr>
            <w:tcW w:w="3095" w:type="dxa"/>
            <w:shd w:val="clear" w:color="auto" w:fill="auto"/>
          </w:tcPr>
          <w:p w:rsidR="00476EE5" w:rsidRPr="003073E0" w:rsidRDefault="00476EE5" w:rsidP="00472459">
            <w:pPr>
              <w:rPr>
                <w:noProof/>
              </w:rPr>
            </w:pPr>
            <w:r>
              <w:t>Bespovratna sredstva za zajedničke aktivnosti</w:t>
            </w:r>
          </w:p>
        </w:tc>
        <w:tc>
          <w:tcPr>
            <w:tcW w:w="3095" w:type="dxa"/>
            <w:shd w:val="clear" w:color="auto" w:fill="auto"/>
          </w:tcPr>
          <w:p w:rsidR="00476EE5" w:rsidRPr="003073E0" w:rsidRDefault="00476EE5" w:rsidP="00472459">
            <w:pPr>
              <w:rPr>
                <w:noProof/>
              </w:rPr>
            </w:pPr>
            <w:r>
              <w:t>Prvo tromjesečje 2018.</w:t>
            </w:r>
          </w:p>
        </w:tc>
        <w:tc>
          <w:tcPr>
            <w:tcW w:w="3095" w:type="dxa"/>
            <w:shd w:val="clear" w:color="auto" w:fill="auto"/>
          </w:tcPr>
          <w:p w:rsidR="00476EE5" w:rsidRPr="003073E0" w:rsidRDefault="00476EE5" w:rsidP="00F31AB7">
            <w:pPr>
              <w:rPr>
                <w:noProof/>
              </w:rPr>
            </w:pPr>
            <w:r>
              <w:t>4 950 000 EUR</w:t>
            </w:r>
          </w:p>
        </w:tc>
      </w:tr>
    </w:tbl>
    <w:p w:rsidR="00476EE5" w:rsidRPr="003073E0" w:rsidRDefault="00476EE5" w:rsidP="00476EE5">
      <w:pPr>
        <w:rPr>
          <w:noProof/>
        </w:rPr>
      </w:pPr>
      <w:r>
        <w:t xml:space="preserve">Najviša moguća stopa sufinanciranja prihvatljivih troškova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6A6002" w:rsidRDefault="00476EE5" w:rsidP="00472459">
            <w:pPr>
              <w:rPr>
                <w:b/>
                <w:noProof/>
              </w:rPr>
            </w:pPr>
            <w:r>
              <w:rPr>
                <w:b/>
                <w:noProof/>
              </w:rPr>
              <w:t>Bespovratna sredstva bit će kombinacija:</w:t>
            </w:r>
          </w:p>
          <w:p w:rsidR="00476EE5" w:rsidRPr="00F46BB3" w:rsidRDefault="00476EE5" w:rsidP="00782113">
            <w:pPr>
              <w:pStyle w:val="Tiret0"/>
              <w:numPr>
                <w:ilvl w:val="0"/>
                <w:numId w:val="35"/>
              </w:numPr>
              <w:rPr>
                <w:noProof/>
              </w:rPr>
            </w:pPr>
            <w:r>
              <w:t>nadoknade prihvatljivih i stvarno nastalih troškova korisnika za sljedeće stavke:</w:t>
            </w:r>
          </w:p>
          <w:p w:rsidR="00476EE5" w:rsidRPr="00F46BB3" w:rsidRDefault="00476EE5" w:rsidP="00476EE5">
            <w:pPr>
              <w:pStyle w:val="Point1letter"/>
              <w:rPr>
                <w:noProof/>
              </w:rPr>
            </w:pPr>
            <w:r>
              <w:t>putni troškovi njihovih izaslanika do 100 %,</w:t>
            </w:r>
          </w:p>
          <w:p w:rsidR="00476EE5" w:rsidRPr="00F46BB3" w:rsidRDefault="00476EE5" w:rsidP="00782113">
            <w:pPr>
              <w:pStyle w:val="Point1letter"/>
              <w:numPr>
                <w:ilvl w:val="3"/>
                <w:numId w:val="36"/>
              </w:numPr>
              <w:rPr>
                <w:noProof/>
              </w:rPr>
            </w:pPr>
            <w:r>
              <w:t xml:space="preserve">troškovi povezani s organizacijom događaja u okviru zadane zajedničke mjere do 100 %; </w:t>
            </w:r>
          </w:p>
          <w:p w:rsidR="00476EE5" w:rsidRPr="00F46BB3" w:rsidRDefault="00476EE5" w:rsidP="00782113">
            <w:pPr>
              <w:pStyle w:val="Point1letter"/>
              <w:numPr>
                <w:ilvl w:val="3"/>
                <w:numId w:val="36"/>
              </w:numPr>
              <w:rPr>
                <w:noProof/>
              </w:rPr>
            </w:pPr>
            <w:r>
              <w:lastRenderedPageBreak/>
              <w:t>izravni troškovi za osoblje, do 50 %, za službenike koji kao stručnjaci sudjeluju u prihvatljivim aktivnostima u skladu s člankom 7. točkom (a) podtočkom vi. „izgradnja kapaciteta carinske uprave i prateća djelovanja” Uredbe (EU) br. 1294/2013.</w:t>
            </w:r>
          </w:p>
          <w:p w:rsidR="00476EE5" w:rsidRPr="00F46BB3" w:rsidRDefault="00476EE5" w:rsidP="00782113">
            <w:pPr>
              <w:pStyle w:val="Tiret0"/>
              <w:numPr>
                <w:ilvl w:val="0"/>
                <w:numId w:val="35"/>
              </w:numPr>
              <w:rPr>
                <w:noProof/>
              </w:rPr>
            </w:pPr>
            <w:r>
              <w:t>nadoknade na temelju jediničnih troškova za dnevnice i troškove smještaja za nacionalne izaslanike. Iznosi koji će se iskoristiti utvrđeni su u Odluci Komisije o općim provedbenim odredbama o donošenju Pravilnika o službenim putovanjima dužnosnika i ostalih službenika Europske komisije</w:t>
            </w:r>
            <w:r>
              <w:rPr>
                <w:rStyle w:val="FootnoteReference"/>
                <w:noProof/>
              </w:rPr>
              <w:footnoteReference w:id="4"/>
            </w:r>
            <w:r>
              <w:t xml:space="preserve"> koja je na snazi u trenutku potpisivanja sporazuma o dodjeli bespovratnih sredstava. Popis stopa prilaže se sporazumu o dodjeli bespovratnih sredstava.</w:t>
            </w:r>
          </w:p>
        </w:tc>
      </w:tr>
    </w:tbl>
    <w:p w:rsidR="00476EE5" w:rsidRPr="00842D00" w:rsidRDefault="00476EE5" w:rsidP="00476EE5">
      <w:pPr>
        <w:pStyle w:val="Heading3"/>
        <w:rPr>
          <w:noProof/>
          <w:szCs w:val="24"/>
        </w:rPr>
      </w:pPr>
      <w:r>
        <w:lastRenderedPageBreak/>
        <w:t>Bespovratna sredstva za stručni tim zadužen za udruživanje stručnog znanja za rješavanje složenih slučajeva razlika pri razvrstavanju u carinsku tarifu (BTI II)</w:t>
      </w:r>
    </w:p>
    <w:p w:rsidR="00476EE5" w:rsidRPr="003073E0" w:rsidRDefault="00476EE5" w:rsidP="00476EE5">
      <w:pPr>
        <w:rPr>
          <w:noProof/>
        </w:rPr>
      </w:pPr>
      <w:r>
        <w:t>PRAVNA OSNOVA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F46BB3" w:rsidRDefault="00476EE5" w:rsidP="00472459">
            <w:pPr>
              <w:rPr>
                <w:noProof/>
              </w:rPr>
            </w:pPr>
            <w:r>
              <w:t>Članak 5. stavak 2. i stavak 7. točka (a) podtočka v. Uredbe (EU) br. 1294/2013</w:t>
            </w:r>
          </w:p>
          <w:p w:rsidR="00476EE5" w:rsidRPr="003073E0" w:rsidRDefault="00476EE5" w:rsidP="00472459">
            <w:pPr>
              <w:rPr>
                <w:noProof/>
              </w:rPr>
            </w:pPr>
            <w:r>
              <w:rPr>
                <w:b/>
                <w:noProof/>
              </w:rPr>
              <w:t xml:space="preserve">Posebni cilj: </w:t>
            </w:r>
            <w:r>
              <w:t>potpora carinskim tijelima za zaštitu financijskih i gospodarskih interesa Unije i država članica, uključujući borbu protiv prijevare i zaštitu prava intelektualnog vlasništva, za povećanje sigurnosti i zaštite, zaštitu građana i okoliša, poboljšanje administrativnih kapaciteta carinskih tijela i jačanje konkurentnosti europskih poduzeća.</w:t>
            </w:r>
          </w:p>
        </w:tc>
      </w:tr>
    </w:tbl>
    <w:p w:rsidR="00476EE5" w:rsidRPr="003073E0" w:rsidRDefault="00476EE5" w:rsidP="00476EE5">
      <w:pPr>
        <w:rPr>
          <w:noProof/>
        </w:rPr>
      </w:pPr>
      <w:r>
        <w:t>PRORAČUNSKA LINIJA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t>14 02 01</w:t>
            </w:r>
          </w:p>
        </w:tc>
      </w:tr>
    </w:tbl>
    <w:p w:rsidR="00476EE5" w:rsidRPr="003073E0" w:rsidRDefault="00476EE5" w:rsidP="00476EE5">
      <w:pPr>
        <w:rPr>
          <w:noProof/>
        </w:rPr>
      </w:pPr>
      <w:r>
        <w:t xml:space="preserve">Prioriteti stručnog tima, ciljevi koji se žele postići i očekivani rezultati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tcPr>
          <w:p w:rsidR="00476EE5" w:rsidRPr="00F46BB3" w:rsidRDefault="00476EE5" w:rsidP="00472459">
            <w:pPr>
              <w:rPr>
                <w:noProof/>
              </w:rPr>
            </w:pPr>
            <w:r>
              <w:t>Cilj inicijative je rješavanje određenih problema u funkcioniranju carinske unije Europske unije, odnosno jedinstveno razvrstavanje u carinsku tarifu proizvoda koji se uvoze ili izvoze iz Unije. Prema carinskom zakonodavstvu Unije, carinska tijela država članica Europske unije izdaju obvezujuće tarifne informacije (OTI) na zahtjev gospodarskih subjekata. OTI-ji pružaju gospodarskom subjektu koji ih zatraži pravnu sigurnost u pogledu razvrstavanja u carinsku tarifu robe koju namjerava uvoziti ili izvoziti. Oni pridonose i jedinstvenom razvrstavanju proizvoda u carinsku tarifu u cijeloj Europskoj uniji i tako stvaraju ravnopravne uvjete za trgovce. Međutim, potvrđuje se da se u slučajevima kada nacionalne carinske vlasti u jednoj ili više država članica imaju različite stavove o razvrstavanju nekih proizvoda zbog njihove tehničke složenosti, u Europskoj uniji mogu povremeno javiti različiti OTI-ji. Različiti OTI-ji mogu biti i posljedica činjenice da države članice pri izdavanju OTI-ja trenutačno nemaju pravnu obvezu izvršiti uvid u OTI-je koje su druge države članice izdale za sličnu robu.</w:t>
            </w:r>
          </w:p>
          <w:p w:rsidR="00476EE5" w:rsidRPr="00F46BB3" w:rsidRDefault="00476EE5" w:rsidP="00472459">
            <w:pPr>
              <w:rPr>
                <w:noProof/>
              </w:rPr>
            </w:pPr>
            <w:r>
              <w:t>Posljednjih se godina trenutačna situacija ocjenjivala pomoću raznih inicijativa iz različitih gledišta, a razvrstavanje u carinsku tarifu bilo je dio temeljnih postupaka, pa su tako utvrđeni određeni problemi povezani s jedinstvenim razvrstavanjem u carinsku tarifu.</w:t>
            </w:r>
          </w:p>
          <w:p w:rsidR="00476EE5" w:rsidRPr="00F46BB3" w:rsidRDefault="00476EE5" w:rsidP="00472459">
            <w:pPr>
              <w:rPr>
                <w:noProof/>
              </w:rPr>
            </w:pPr>
            <w:r>
              <w:t>Cilj je stručnog tima na strukturiran način analizirati složene slučajeve razlika u razvrstavanju u carinsku tarifu koji su se pojavili na razini Europske unije i predložiti stručno mišljenje za te slučajeve udruživanjem središnjeg tima stručnjaka iz njihovih posebnih područja. Predloženo stručno mišljenje može naknadno ocijeniti Odbor za carinski zakonik (OCZ).</w:t>
            </w:r>
          </w:p>
          <w:p w:rsidR="00476EE5" w:rsidRPr="003073E0" w:rsidRDefault="00476EE5" w:rsidP="00472459">
            <w:pPr>
              <w:rPr>
                <w:noProof/>
              </w:rPr>
            </w:pPr>
            <w:r>
              <w:lastRenderedPageBreak/>
              <w:t>Strukturirana suradnja i razmjena posebnih znanja među stručnjacima iz područja – na temelju rezultata stručnog tima za OTI – trebala bi omogućiti predlaganje održivih rješenja u okviru OCZ-a za složene slučajeve razvrstavanja. To bi trebalo omogućiti donošenje rješenja za takve slučajeve u razumnom roku.</w:t>
            </w:r>
          </w:p>
        </w:tc>
      </w:tr>
    </w:tbl>
    <w:p w:rsidR="00476EE5" w:rsidRPr="003073E0" w:rsidRDefault="00476EE5" w:rsidP="00476EE5">
      <w:pPr>
        <w:rPr>
          <w:noProof/>
        </w:rPr>
      </w:pPr>
      <w:r>
        <w:lastRenderedPageBreak/>
        <w:t>Opis aktivnosti koje će se financirati bespovratnim sredstvima koja se dodjeljuju bez poziva na podnošenje prijedloga na temelju članka 190. Delegirane uredbe (EU) br. 1268/2012</w:t>
      </w:r>
      <w:r>
        <w:rPr>
          <w:rStyle w:val="FootnoteReference"/>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shd w:val="clear" w:color="auto" w:fill="auto"/>
          </w:tcPr>
          <w:p w:rsidR="00476EE5" w:rsidRPr="006A6002" w:rsidRDefault="00476EE5" w:rsidP="00472459">
            <w:pPr>
              <w:rPr>
                <w:rFonts w:eastAsia="Calibri"/>
                <w:b/>
                <w:noProof/>
              </w:rPr>
            </w:pPr>
            <w:r>
              <w:rPr>
                <w:b/>
                <w:noProof/>
              </w:rPr>
              <w:t xml:space="preserve">Bespovratnim sredstvima financirat će se aktivnosti za: </w:t>
            </w:r>
          </w:p>
          <w:p w:rsidR="00476EE5" w:rsidRPr="00F46BB3" w:rsidRDefault="00476EE5" w:rsidP="00782113">
            <w:pPr>
              <w:pStyle w:val="Tiret0"/>
              <w:numPr>
                <w:ilvl w:val="0"/>
                <w:numId w:val="35"/>
              </w:numPr>
              <w:rPr>
                <w:rFonts w:ascii="EUAlbertina" w:hAnsi="EUAlbertina" w:cs="EUAlbertina"/>
                <w:noProof/>
              </w:rPr>
            </w:pPr>
            <w:r>
              <w:rPr>
                <w:noProof/>
              </w:rPr>
              <w:t>pojačanu suradnju među samim državama članicama i između država članica i Komisije kako bi se, prije svega, riješili zahtjevi povezani s OTI-jem koji su se pokazali osobito složenima ili spornima</w:t>
            </w:r>
            <w:r>
              <w:rPr>
                <w:rFonts w:ascii="EUAlbertina" w:hAnsi="EUAlbertina"/>
                <w:noProof/>
              </w:rPr>
              <w:t>,</w:t>
            </w:r>
          </w:p>
          <w:p w:rsidR="00476EE5" w:rsidRPr="00F46BB3" w:rsidRDefault="00476EE5" w:rsidP="00782113">
            <w:pPr>
              <w:pStyle w:val="Tiret0"/>
              <w:numPr>
                <w:ilvl w:val="0"/>
                <w:numId w:val="35"/>
              </w:numPr>
              <w:rPr>
                <w:rFonts w:ascii="EUAlbertina" w:hAnsi="EUAlbertina" w:cs="EUAlbertina"/>
                <w:noProof/>
              </w:rPr>
            </w:pPr>
            <w:r>
              <w:rPr>
                <w:noProof/>
              </w:rPr>
              <w:t>analizu složenih predmeta razvrstavanja koju provode stručni timovi (ST) u obliku arbitraže ili stručne analize</w:t>
            </w:r>
            <w:r>
              <w:rPr>
                <w:rFonts w:ascii="EUAlbertina" w:hAnsi="EUAlbertina"/>
                <w:noProof/>
              </w:rPr>
              <w:t>.</w:t>
            </w:r>
          </w:p>
          <w:p w:rsidR="00476EE5" w:rsidRPr="00F46BB3" w:rsidRDefault="00476EE5" w:rsidP="00782113">
            <w:pPr>
              <w:pStyle w:val="Point1number"/>
              <w:numPr>
                <w:ilvl w:val="2"/>
                <w:numId w:val="38"/>
              </w:numPr>
              <w:rPr>
                <w:noProof/>
              </w:rPr>
            </w:pPr>
            <w:r>
              <w:t>Djelovanje kao arbitar za slučajeve koje države članice podnose izravno ST-u, npr. u okviru bilateralnih kontakata među državama članicama ili za sva druga pitanja koja se odnose na razvrstavanje (preventivna mjera);</w:t>
            </w:r>
          </w:p>
          <w:p w:rsidR="00476EE5" w:rsidRPr="006A6002" w:rsidRDefault="00476EE5" w:rsidP="00782113">
            <w:pPr>
              <w:pStyle w:val="Point1number"/>
              <w:numPr>
                <w:ilvl w:val="2"/>
                <w:numId w:val="36"/>
              </w:numPr>
              <w:rPr>
                <w:rFonts w:ascii="EUAlbertina" w:hAnsi="EUAlbertina" w:cs="EUAlbertina"/>
                <w:noProof/>
              </w:rPr>
            </w:pPr>
            <w:r>
              <w:t>djelovanje kao izvor stručnog znanja za analizu slučajeva koje je podnijela Komisija i predlaganje konkretnih rješenja (korektivne mjere) u slučajevima razlika u razvrstavanju među državama članicama.</w:t>
            </w:r>
          </w:p>
          <w:p w:rsidR="00476EE5" w:rsidRPr="003073E0" w:rsidRDefault="00476EE5" w:rsidP="00472459">
            <w:pPr>
              <w:rPr>
                <w:noProof/>
              </w:rPr>
            </w:pPr>
            <w:r>
              <w:t>Dostavljeni rezultati bili bi prijedlog brzih rješenja za složene slučajeve u obliku pojednostavnjenog dokumenta koji će biti dostavljen Odboru za carinski zakonik u skraćenom vremenskom razdoblju u slučaju kada je državama članicama za analizu slučaja potrebno posebno stručno znanje i kada stručno znanje nije dostupno u Komisiji.</w:t>
            </w:r>
          </w:p>
        </w:tc>
      </w:tr>
    </w:tbl>
    <w:p w:rsidR="00476EE5" w:rsidRPr="003073E0" w:rsidRDefault="00476EE5" w:rsidP="00472459">
      <w:pPr>
        <w:keepNext/>
        <w:keepLines/>
        <w:rPr>
          <w:noProof/>
        </w:rPr>
      </w:pPr>
      <w:r>
        <w:t>Osnovni kriteriji prihvatljivosti i odabira te kriteriji za dodjelu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tcPr>
          <w:p w:rsidR="00476EE5" w:rsidRPr="006A6002" w:rsidRDefault="00476EE5" w:rsidP="00472459">
            <w:pPr>
              <w:rPr>
                <w:rFonts w:eastAsia="Calibri"/>
                <w:b/>
                <w:noProof/>
              </w:rPr>
            </w:pPr>
            <w:r>
              <w:rPr>
                <w:b/>
                <w:noProof/>
              </w:rPr>
              <w:t>Bespovratna sredstva dodjeljuju se na temelju sljedećih kriterija:</w:t>
            </w:r>
          </w:p>
          <w:p w:rsidR="00476EE5" w:rsidRPr="006A6002" w:rsidRDefault="00476EE5" w:rsidP="00472459">
            <w:pPr>
              <w:rPr>
                <w:rFonts w:eastAsia="Calibri"/>
                <w:b/>
                <w:i/>
                <w:noProof/>
              </w:rPr>
            </w:pPr>
            <w:r>
              <w:rPr>
                <w:b/>
                <w:i/>
                <w:noProof/>
              </w:rPr>
              <w:t>Kriteriji prihvatljivosti</w:t>
            </w:r>
          </w:p>
          <w:p w:rsidR="00476EE5" w:rsidRPr="00F46BB3" w:rsidRDefault="00476EE5" w:rsidP="00472459">
            <w:pPr>
              <w:rPr>
                <w:rFonts w:eastAsia="Calibri"/>
                <w:noProof/>
              </w:rPr>
            </w:pPr>
            <w:r>
              <w:t>Prema članku 3. Uredbe (EU) br. 1294/2013 korisnici bespovratnih sredstava bit će carinske uprave država članica i drugih prihvatljivih zemalja koje ispunjavaju uvjete za sudjelovanje navedene u članku 3. stavku 2. Uredbe (EU) br. 1294/2013.</w:t>
            </w:r>
          </w:p>
          <w:p w:rsidR="00476EE5" w:rsidRPr="00F46BB3" w:rsidRDefault="00476EE5" w:rsidP="00472459">
            <w:pPr>
              <w:rPr>
                <w:rFonts w:eastAsia="Calibri"/>
                <w:noProof/>
              </w:rPr>
            </w:pPr>
            <w:r>
              <w:t>Predložene aktivnosti moraju biti dio prihvatljivih mjera iz članka 7. točke (a) podtočke v. Uredbe (EU) br. 1294/2013.</w:t>
            </w:r>
          </w:p>
          <w:p w:rsidR="00476EE5" w:rsidRPr="006A6002" w:rsidRDefault="00476EE5" w:rsidP="00472459">
            <w:pPr>
              <w:rPr>
                <w:rFonts w:eastAsia="Calibri"/>
                <w:b/>
                <w:i/>
                <w:noProof/>
              </w:rPr>
            </w:pPr>
            <w:r>
              <w:rPr>
                <w:b/>
                <w:i/>
                <w:noProof/>
              </w:rPr>
              <w:t>Kriteriji za odabir</w:t>
            </w:r>
          </w:p>
          <w:p w:rsidR="00476EE5" w:rsidRPr="00F46BB3" w:rsidRDefault="00476EE5" w:rsidP="00472459">
            <w:pPr>
              <w:rPr>
                <w:rFonts w:eastAsia="Calibri"/>
                <w:noProof/>
              </w:rPr>
            </w:pPr>
            <w:r>
              <w:t>U skladu s člankom 131. stavkom 3. Uredbe (EU, Euratom) br. 966/2012, financijski i operativni kapaciteti korisnika neće se provjeravati jer su korisnici javne uprave.</w:t>
            </w:r>
          </w:p>
          <w:p w:rsidR="00476EE5" w:rsidRPr="006A6002" w:rsidRDefault="00476EE5" w:rsidP="00472459">
            <w:pPr>
              <w:rPr>
                <w:rFonts w:eastAsia="Calibri"/>
                <w:b/>
                <w:i/>
                <w:noProof/>
              </w:rPr>
            </w:pPr>
            <w:r>
              <w:rPr>
                <w:b/>
                <w:i/>
                <w:noProof/>
              </w:rPr>
              <w:t>Kriteriji za dodjelu</w:t>
            </w:r>
          </w:p>
          <w:p w:rsidR="00476EE5" w:rsidRPr="003073E0" w:rsidRDefault="00476EE5" w:rsidP="00472459">
            <w:pPr>
              <w:rPr>
                <w:noProof/>
              </w:rPr>
            </w:pPr>
            <w:r>
              <w:t>Bespovratna sredstva dodijelit će se na temelju njihove važnosti, usklađenosti i dodane vrijednosti za Uniju, metodoloških i organizacijskih kvaliteta, upravljanja i namjenskih sredstava te očekivanih rezultata i ostvarene vrijednosti za uložena novčana sredstva.</w:t>
            </w:r>
          </w:p>
        </w:tc>
      </w:tr>
    </w:tbl>
    <w:p w:rsidR="00476EE5" w:rsidRPr="003073E0" w:rsidRDefault="00476EE5" w:rsidP="00476EE5">
      <w:pPr>
        <w:rPr>
          <w:noProof/>
        </w:rPr>
      </w:pPr>
      <w:r>
        <w:lastRenderedPageBreak/>
        <w:t>Provodi</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t>GU TAXUD</w:t>
            </w:r>
          </w:p>
        </w:tc>
      </w:tr>
    </w:tbl>
    <w:p w:rsidR="00476EE5" w:rsidRPr="003073E0" w:rsidRDefault="00476EE5" w:rsidP="00476EE5">
      <w:pPr>
        <w:rPr>
          <w:noProof/>
        </w:rPr>
      </w:pPr>
      <w:r>
        <w:t>Okvirni vremenski raspored i okvirni iznos bespovratnih sredstava koja se dodjeljuju bez poziva za podnošenje prijedloga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015"/>
        <w:gridCol w:w="3025"/>
      </w:tblGrid>
      <w:tr w:rsidR="00476EE5" w:rsidRPr="003073E0" w:rsidTr="00472459">
        <w:tc>
          <w:tcPr>
            <w:tcW w:w="3095" w:type="dxa"/>
            <w:shd w:val="clear" w:color="auto" w:fill="auto"/>
          </w:tcPr>
          <w:p w:rsidR="00476EE5" w:rsidRPr="006A6002" w:rsidRDefault="00476EE5" w:rsidP="00472459">
            <w:pPr>
              <w:jc w:val="center"/>
              <w:rPr>
                <w:b/>
                <w:noProof/>
              </w:rPr>
            </w:pPr>
            <w:r>
              <w:rPr>
                <w:b/>
                <w:noProof/>
              </w:rPr>
              <w:t>Referenca</w:t>
            </w:r>
          </w:p>
        </w:tc>
        <w:tc>
          <w:tcPr>
            <w:tcW w:w="3095" w:type="dxa"/>
            <w:shd w:val="clear" w:color="auto" w:fill="auto"/>
          </w:tcPr>
          <w:p w:rsidR="00476EE5" w:rsidRPr="006A6002" w:rsidRDefault="00476EE5" w:rsidP="00472459">
            <w:pPr>
              <w:jc w:val="center"/>
              <w:rPr>
                <w:b/>
                <w:noProof/>
              </w:rPr>
            </w:pPr>
            <w:r>
              <w:rPr>
                <w:b/>
                <w:noProof/>
              </w:rPr>
              <w:t>Datum</w:t>
            </w:r>
          </w:p>
        </w:tc>
        <w:tc>
          <w:tcPr>
            <w:tcW w:w="3095" w:type="dxa"/>
            <w:shd w:val="clear" w:color="auto" w:fill="auto"/>
          </w:tcPr>
          <w:p w:rsidR="00476EE5" w:rsidRPr="006A6002" w:rsidRDefault="00476EE5" w:rsidP="00472459">
            <w:pPr>
              <w:jc w:val="center"/>
              <w:rPr>
                <w:b/>
                <w:noProof/>
              </w:rPr>
            </w:pPr>
            <w:r>
              <w:rPr>
                <w:b/>
                <w:noProof/>
              </w:rPr>
              <w:t>Iznos</w:t>
            </w:r>
          </w:p>
        </w:tc>
      </w:tr>
      <w:tr w:rsidR="00476EE5" w:rsidRPr="003073E0" w:rsidTr="00472459">
        <w:tc>
          <w:tcPr>
            <w:tcW w:w="3095" w:type="dxa"/>
            <w:shd w:val="clear" w:color="auto" w:fill="auto"/>
          </w:tcPr>
          <w:p w:rsidR="00476EE5" w:rsidRPr="003073E0" w:rsidRDefault="00476EE5" w:rsidP="00472459">
            <w:pPr>
              <w:rPr>
                <w:noProof/>
              </w:rPr>
            </w:pPr>
            <w:r>
              <w:t>Bespovratna sredstva za stručni tim zadužen za udruživanje stručnog znanja za rješavanje složenih slučajeva razlika pri razvrstavanju u carinsku tarifu</w:t>
            </w:r>
          </w:p>
        </w:tc>
        <w:tc>
          <w:tcPr>
            <w:tcW w:w="3095" w:type="dxa"/>
            <w:shd w:val="clear" w:color="auto" w:fill="auto"/>
          </w:tcPr>
          <w:p w:rsidR="00476EE5" w:rsidRPr="003073E0" w:rsidRDefault="00476EE5" w:rsidP="00472459">
            <w:pPr>
              <w:rPr>
                <w:noProof/>
              </w:rPr>
            </w:pPr>
            <w:r>
              <w:t>Četvrto tromjesečje 2018.</w:t>
            </w:r>
          </w:p>
        </w:tc>
        <w:tc>
          <w:tcPr>
            <w:tcW w:w="3095" w:type="dxa"/>
            <w:shd w:val="clear" w:color="auto" w:fill="auto"/>
          </w:tcPr>
          <w:p w:rsidR="00476EE5" w:rsidRPr="003073E0" w:rsidRDefault="00476EE5" w:rsidP="00472459">
            <w:pPr>
              <w:rPr>
                <w:noProof/>
              </w:rPr>
            </w:pPr>
            <w:r>
              <w:t>240 000 EUR</w:t>
            </w:r>
          </w:p>
        </w:tc>
      </w:tr>
    </w:tbl>
    <w:p w:rsidR="00476EE5" w:rsidRPr="003073E0" w:rsidRDefault="00476EE5" w:rsidP="00476EE5">
      <w:pPr>
        <w:rPr>
          <w:noProof/>
        </w:rPr>
      </w:pPr>
      <w:r>
        <w:t xml:space="preserve">Najviša moguća stopa sufinanciranja prihvatljivih troškova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6A6002" w:rsidRDefault="00476EE5" w:rsidP="00472459">
            <w:pPr>
              <w:rPr>
                <w:b/>
                <w:noProof/>
              </w:rPr>
            </w:pPr>
            <w:r>
              <w:rPr>
                <w:b/>
                <w:noProof/>
              </w:rPr>
              <w:t>Opis bespovratnih sredstava</w:t>
            </w:r>
          </w:p>
          <w:p w:rsidR="00476EE5" w:rsidRPr="00566A10" w:rsidRDefault="00476EE5" w:rsidP="00472459">
            <w:pPr>
              <w:rPr>
                <w:noProof/>
              </w:rPr>
            </w:pPr>
            <w:r>
              <w:t>Bespovratna sredstva bit će kombinacija:</w:t>
            </w:r>
          </w:p>
          <w:p w:rsidR="00476EE5" w:rsidRPr="00566A10" w:rsidRDefault="00476EE5" w:rsidP="00782113">
            <w:pPr>
              <w:pStyle w:val="Tiret0"/>
              <w:numPr>
                <w:ilvl w:val="0"/>
                <w:numId w:val="35"/>
              </w:numPr>
              <w:rPr>
                <w:noProof/>
              </w:rPr>
            </w:pPr>
            <w:r>
              <w:t>nadoknade sljedećih prihvatljivih i stvarno nastalih troškova korisnika za sljedeće stavke:</w:t>
            </w:r>
          </w:p>
          <w:p w:rsidR="00476EE5" w:rsidRPr="00566A10" w:rsidRDefault="00476EE5" w:rsidP="00782113">
            <w:pPr>
              <w:pStyle w:val="Point1letter"/>
              <w:numPr>
                <w:ilvl w:val="3"/>
                <w:numId w:val="36"/>
              </w:numPr>
              <w:rPr>
                <w:noProof/>
              </w:rPr>
            </w:pPr>
            <w:r>
              <w:t>troškovi za putovanja, do 100 %;</w:t>
            </w:r>
          </w:p>
          <w:p w:rsidR="00476EE5" w:rsidRPr="00566A10" w:rsidRDefault="00476EE5" w:rsidP="00782113">
            <w:pPr>
              <w:pStyle w:val="Point1letter"/>
              <w:numPr>
                <w:ilvl w:val="3"/>
                <w:numId w:val="36"/>
              </w:numPr>
              <w:rPr>
                <w:noProof/>
              </w:rPr>
            </w:pPr>
            <w:r>
              <w:t>troškovi ugošćivanja stručnjaka u okviru projekta, do 100 %;</w:t>
            </w:r>
          </w:p>
          <w:p w:rsidR="00476EE5" w:rsidRPr="00566A10" w:rsidRDefault="00476EE5" w:rsidP="00782113">
            <w:pPr>
              <w:pStyle w:val="Point1letter"/>
              <w:numPr>
                <w:ilvl w:val="3"/>
                <w:numId w:val="36"/>
              </w:numPr>
              <w:rPr>
                <w:noProof/>
              </w:rPr>
            </w:pPr>
            <w:r>
              <w:t>izravni troškovi za osoblje, do 50 %;</w:t>
            </w:r>
          </w:p>
          <w:p w:rsidR="00476EE5" w:rsidRPr="00566A10" w:rsidRDefault="00476EE5" w:rsidP="00782113">
            <w:pPr>
              <w:pStyle w:val="Point1letter"/>
              <w:numPr>
                <w:ilvl w:val="3"/>
                <w:numId w:val="36"/>
              </w:numPr>
              <w:rPr>
                <w:noProof/>
              </w:rPr>
            </w:pPr>
            <w:r>
              <w:t>troškovi amortizacije opreme potrebne za projekt (samo troškovi amortizacije razmjerno vremenu postojanja stručnog tima), do 75 %;</w:t>
            </w:r>
          </w:p>
          <w:p w:rsidR="00476EE5" w:rsidRPr="00566A10" w:rsidRDefault="00476EE5" w:rsidP="00782113">
            <w:pPr>
              <w:pStyle w:val="Point1letter"/>
              <w:numPr>
                <w:ilvl w:val="3"/>
                <w:numId w:val="36"/>
              </w:numPr>
              <w:rPr>
                <w:noProof/>
              </w:rPr>
            </w:pPr>
            <w:r>
              <w:t>troškovi podugovaranja (vanjske usluge za zapošljavanje stručnjaka koje su ograničene opsegom i na dijelove projekta koji nisu ključni), do 75 %;</w:t>
            </w:r>
          </w:p>
          <w:p w:rsidR="00476EE5" w:rsidRPr="00566A10" w:rsidRDefault="00476EE5" w:rsidP="00782113">
            <w:pPr>
              <w:pStyle w:val="Point1letter"/>
              <w:numPr>
                <w:ilvl w:val="3"/>
                <w:numId w:val="36"/>
              </w:numPr>
              <w:rPr>
                <w:noProof/>
              </w:rPr>
            </w:pPr>
            <w:r>
              <w:t>ostali izravni troškovi (npr. organizacijski troškovi za događaje, tiskanje promotivnog materijala, kupnja potrošnog materijala i zaliha potrebnih za projekt), do 100 %.</w:t>
            </w:r>
          </w:p>
          <w:p w:rsidR="00476EE5" w:rsidRPr="00566A10" w:rsidRDefault="00476EE5" w:rsidP="00782113">
            <w:pPr>
              <w:pStyle w:val="Tiret0"/>
              <w:numPr>
                <w:ilvl w:val="0"/>
                <w:numId w:val="35"/>
              </w:numPr>
              <w:rPr>
                <w:noProof/>
              </w:rPr>
            </w:pPr>
            <w:r>
              <w:t>nadoknade na temelju jediničnih troškova za dnevnice i troškove smještaja za nacionalne izaslanike. Iznosi koji će se iskoristiti utvrđeni su u Odluci Komisije o općim provedbenim odredbama o donošenju Pravilnika o službenim putovanjima dužnosnika i ostalih službenika Europske komisije</w:t>
            </w:r>
            <w:r>
              <w:rPr>
                <w:rStyle w:val="FootnoteReference"/>
              </w:rPr>
              <w:footnoteReference w:id="6"/>
            </w:r>
            <w:r>
              <w:t xml:space="preserve"> koja je na snazi u trenutku potpisivanja sporazuma o dodjeli bespovratnih sredstava. Popis jediničnih troškova prilaže se sporazumu o dodjeli bespovratnih sredstava.</w:t>
            </w:r>
          </w:p>
          <w:p w:rsidR="00476EE5" w:rsidRPr="003073E0" w:rsidRDefault="00476EE5" w:rsidP="00782113">
            <w:pPr>
              <w:pStyle w:val="Tiret0"/>
              <w:numPr>
                <w:ilvl w:val="0"/>
                <w:numId w:val="35"/>
              </w:numPr>
              <w:rPr>
                <w:noProof/>
              </w:rPr>
            </w:pPr>
            <w:r>
              <w:t>nadoknada na temelju paušalne stope za neizravne troškove (režijski troškovi), u iznosu od 7 % svih izravnih prihvatljivih troškova.</w:t>
            </w:r>
          </w:p>
        </w:tc>
      </w:tr>
    </w:tbl>
    <w:p w:rsidR="00476EE5" w:rsidRPr="007E587F" w:rsidRDefault="00476EE5" w:rsidP="00476EE5">
      <w:pPr>
        <w:pStyle w:val="Heading3"/>
        <w:rPr>
          <w:noProof/>
        </w:rPr>
      </w:pPr>
      <w:r>
        <w:lastRenderedPageBreak/>
        <w:t>Bespovratna sredstva za stručni tim zadužen za udruživanje i dijeljenje posebnog analitičkog stručnog znanja carinskih laboratorija na razini Europske unije (CLET II)</w:t>
      </w:r>
    </w:p>
    <w:p w:rsidR="00476EE5" w:rsidRPr="00566A10" w:rsidRDefault="00476EE5" w:rsidP="00476EE5">
      <w:pPr>
        <w:rPr>
          <w:noProof/>
        </w:rPr>
      </w:pPr>
      <w:r>
        <w:t>PRAVNA OSNOVA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t>Članak 5. stavak 2. i stavak 7. točka (a) podtočka v. Uredbe (EU) br. 1294/2013</w:t>
            </w:r>
          </w:p>
          <w:p w:rsidR="00476EE5" w:rsidRPr="00566A10" w:rsidRDefault="00476EE5" w:rsidP="00472459">
            <w:pPr>
              <w:rPr>
                <w:noProof/>
              </w:rPr>
            </w:pPr>
            <w:r>
              <w:rPr>
                <w:b/>
                <w:noProof/>
              </w:rPr>
              <w:t xml:space="preserve">Posebni cilj: </w:t>
            </w:r>
            <w:r>
              <w:t>potpora carinskim tijelima za zaštitu financijskih i gospodarskih interesa Unije i država članica, uključujući borbu protiv prijevare i zaštitu prava intelektualnog vlasništva, za povećanje sigurnosti i zaštite, zaštitu građana i okoliša, poboljšanje administrativnih kapaciteta carinskih tijela i jačanje konkurentnosti europskih poduzeća.</w:t>
            </w:r>
          </w:p>
        </w:tc>
      </w:tr>
    </w:tbl>
    <w:p w:rsidR="00476EE5" w:rsidRPr="00566A10" w:rsidRDefault="00476EE5" w:rsidP="00476EE5">
      <w:pPr>
        <w:rPr>
          <w:noProof/>
        </w:rPr>
      </w:pPr>
      <w:r>
        <w:t>PRORAČUNSKA LINIJA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t>14 02 01</w:t>
            </w:r>
          </w:p>
        </w:tc>
      </w:tr>
    </w:tbl>
    <w:p w:rsidR="00476EE5" w:rsidRPr="00566A10" w:rsidRDefault="00476EE5" w:rsidP="00FD2529">
      <w:pPr>
        <w:keepNext/>
        <w:keepLines/>
        <w:rPr>
          <w:noProof/>
        </w:rPr>
      </w:pPr>
      <w:r>
        <w:t xml:space="preserve">Prioriteti stručnog tima, ciljevi koji se žele postići i očekivani rezultati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1338"/>
        </w:trPr>
        <w:tc>
          <w:tcPr>
            <w:tcW w:w="9286" w:type="dxa"/>
          </w:tcPr>
          <w:p w:rsidR="00476EE5" w:rsidRPr="00566A10" w:rsidRDefault="00476EE5" w:rsidP="00472459">
            <w:pPr>
              <w:rPr>
                <w:noProof/>
              </w:rPr>
            </w:pPr>
            <w:r>
              <w:t>U kriznom razdoblju koje zahtijeva brz i/ili širok odgovor (kriza s metanolom u Češkoj, melamin u kineskom mlijeku, krijumčarenje duhanskih proizvoda, prijevara u području mineralnih ulja, nove psihoaktivne tvari...), broj uzoraka koji carinski laboratoriji moraju brzo analizirati može biti znatno veći od kapaciteta laboratorija, oprema može biti nedostupna u toj zemlji, a kriza može u cijeloj Uniju ili imati utjecaj na cijelu Europsku uniju.</w:t>
            </w:r>
          </w:p>
          <w:p w:rsidR="00476EE5" w:rsidRPr="00566A10" w:rsidRDefault="00476EE5" w:rsidP="00472459">
            <w:pPr>
              <w:rPr>
                <w:noProof/>
              </w:rPr>
            </w:pPr>
            <w:r>
              <w:t>Kod vanjske krize može nedostajati sofisticirana oprema (nuklearna magnetna rezonanca (NMR), brojanje tekućinskim scintilacijskim brojačem (LSC)...) ili rijetko stručno znanje (analiza drveta), a određene neuobičajene analize ne opravdavaju održavanje namjenske opreme u svim laboratorijima.</w:t>
            </w:r>
          </w:p>
          <w:p w:rsidR="00476EE5" w:rsidRPr="00566A10" w:rsidRDefault="00476EE5" w:rsidP="00472459">
            <w:pPr>
              <w:rPr>
                <w:noProof/>
              </w:rPr>
            </w:pPr>
            <w:r>
              <w:t>U razdoblju kada u državama članicama postoji nedostatak resursa, neki su laboratoriji prisiljeni obavljati manje analiza ili mogu odlučiti odbaciti provjeru određenih uzoraka. Zbog prethodno navedenih razloga stoga postoji konkretan rizik od prijevare koja nije uočena.</w:t>
            </w:r>
          </w:p>
          <w:p w:rsidR="00476EE5" w:rsidRPr="00566A10" w:rsidRDefault="00476EE5" w:rsidP="00472459">
            <w:pPr>
              <w:rPr>
                <w:noProof/>
              </w:rPr>
            </w:pPr>
            <w:r>
              <w:t>Poslovni su razlozi uspostave ovog stručnog tima nedostatak analitičkih kapaciteta ili stručnog znanja koje je ravnomjerno rasprostranjeno u cijeloj Uniji i ekonomije razmjera / optimizacija resursa ostvarena kombinacijom stručnosti i strojeva za dobrobit svih.</w:t>
            </w:r>
          </w:p>
          <w:p w:rsidR="00476EE5" w:rsidRPr="00566A10" w:rsidRDefault="00476EE5" w:rsidP="00472459">
            <w:pPr>
              <w:rPr>
                <w:noProof/>
              </w:rPr>
            </w:pPr>
            <w:r>
              <w:t>Cilj je korištenje i udruživanje postojećeg stručnog znanja i opreme u carinskim laboratorijima na razini Unije – na temelju rezultata stručnog tima CLET I – za provedbu analize velikog broja potencijalno opasnih tvari ili proizvoda koji predstavljaju značajan gubitak prihoda za proračune Europske unije i država članica i dijeljenje rezultata kroz umrežavanje.</w:t>
            </w:r>
          </w:p>
        </w:tc>
      </w:tr>
    </w:tbl>
    <w:p w:rsidR="00476EE5" w:rsidRPr="00566A10" w:rsidRDefault="00476EE5" w:rsidP="00476EE5">
      <w:pPr>
        <w:rPr>
          <w:noProof/>
        </w:rPr>
      </w:pPr>
      <w:r>
        <w:t>Opis aktivnosti koje će se financirati bespovratnim sredstvima koja se dodjeljuju bez poziva na podnošenje prijedloga na temelju članka 190. Delegirane uredbe (EU) br. 1268/2012</w:t>
      </w:r>
      <w:r>
        <w:rPr>
          <w:rStyle w:val="FootnoteReference"/>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853"/>
        </w:trPr>
        <w:tc>
          <w:tcPr>
            <w:tcW w:w="9286" w:type="dxa"/>
          </w:tcPr>
          <w:p w:rsidR="00476EE5" w:rsidRPr="006A6002" w:rsidRDefault="00476EE5" w:rsidP="00472459">
            <w:pPr>
              <w:rPr>
                <w:rFonts w:eastAsia="Calibri"/>
                <w:b/>
                <w:noProof/>
              </w:rPr>
            </w:pPr>
            <w:r>
              <w:rPr>
                <w:b/>
                <w:noProof/>
              </w:rPr>
              <w:t xml:space="preserve">Bespovratnim sredstvima financirat će se aktivnosti za: </w:t>
            </w:r>
          </w:p>
          <w:p w:rsidR="00476EE5" w:rsidRPr="00566A10" w:rsidRDefault="00476EE5" w:rsidP="00782113">
            <w:pPr>
              <w:pStyle w:val="Tiret0"/>
              <w:numPr>
                <w:ilvl w:val="0"/>
                <w:numId w:val="35"/>
              </w:numPr>
              <w:rPr>
                <w:noProof/>
              </w:rPr>
            </w:pPr>
            <w:r>
              <w:t xml:space="preserve">udruživanje stručnosti i opreme u mrežu (carinski laboratoriji Europske unije, </w:t>
            </w:r>
          </w:p>
          <w:p w:rsidR="00476EE5" w:rsidRPr="00566A10" w:rsidRDefault="00476EE5" w:rsidP="00782113">
            <w:pPr>
              <w:pStyle w:val="Tiret0"/>
              <w:numPr>
                <w:ilvl w:val="0"/>
                <w:numId w:val="35"/>
              </w:numPr>
              <w:rPr>
                <w:noProof/>
              </w:rPr>
            </w:pPr>
            <w:r>
              <w:t xml:space="preserve">analizu posebnih uzoraka, </w:t>
            </w:r>
          </w:p>
          <w:p w:rsidR="00476EE5" w:rsidRPr="00566A10" w:rsidRDefault="00476EE5" w:rsidP="00782113">
            <w:pPr>
              <w:pStyle w:val="Tiret0"/>
              <w:numPr>
                <w:ilvl w:val="0"/>
                <w:numId w:val="35"/>
              </w:numPr>
              <w:rPr>
                <w:noProof/>
              </w:rPr>
            </w:pPr>
            <w:r>
              <w:t>dijeljenje rezultata analize na razini Unije,</w:t>
            </w:r>
          </w:p>
          <w:p w:rsidR="00476EE5" w:rsidRPr="00566A10" w:rsidRDefault="00476EE5" w:rsidP="00782113">
            <w:pPr>
              <w:pStyle w:val="Tiret0"/>
              <w:numPr>
                <w:ilvl w:val="0"/>
                <w:numId w:val="35"/>
              </w:numPr>
              <w:rPr>
                <w:noProof/>
              </w:rPr>
            </w:pPr>
            <w:r>
              <w:lastRenderedPageBreak/>
              <w:t xml:space="preserve">predlaganje operativnih zajedničkih/usklađenih pristupa za probleme analize i razvrstavanja u carinsku tarifu, </w:t>
            </w:r>
          </w:p>
          <w:p w:rsidR="00476EE5" w:rsidRPr="00566A10" w:rsidRDefault="00476EE5" w:rsidP="00782113">
            <w:pPr>
              <w:pStyle w:val="Tiret0"/>
              <w:numPr>
                <w:ilvl w:val="0"/>
                <w:numId w:val="35"/>
              </w:numPr>
              <w:rPr>
                <w:noProof/>
              </w:rPr>
            </w:pPr>
            <w:r>
              <w:t>uzgredno pridonošenje razvoju pristupa (npr. metoda i tehnika) i smjernica koje se temelje na rezultatima te testiranje i promicanje novih razvoja laboratorija.</w:t>
            </w:r>
          </w:p>
        </w:tc>
      </w:tr>
    </w:tbl>
    <w:p w:rsidR="00476EE5" w:rsidRPr="00566A10" w:rsidRDefault="00476EE5" w:rsidP="00FD2529">
      <w:pPr>
        <w:keepNext/>
        <w:keepLines/>
        <w:rPr>
          <w:noProof/>
        </w:rPr>
      </w:pPr>
      <w:r>
        <w:lastRenderedPageBreak/>
        <w:t>Osnovni kriteriji prihvatljivosti i odabira te kriteriji za dodjelu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109"/>
        </w:trPr>
        <w:tc>
          <w:tcPr>
            <w:tcW w:w="9286" w:type="dxa"/>
          </w:tcPr>
          <w:p w:rsidR="00476EE5" w:rsidRPr="006A6002" w:rsidRDefault="00476EE5" w:rsidP="00472459">
            <w:pPr>
              <w:rPr>
                <w:rFonts w:eastAsia="Calibri"/>
                <w:b/>
                <w:noProof/>
              </w:rPr>
            </w:pPr>
            <w:r>
              <w:rPr>
                <w:b/>
                <w:noProof/>
              </w:rPr>
              <w:t>Bespovratna sredstva dodjeljuju se na temelju sljedećih kriterija:</w:t>
            </w:r>
          </w:p>
          <w:p w:rsidR="00476EE5" w:rsidRPr="006A6002" w:rsidRDefault="00476EE5" w:rsidP="00472459">
            <w:pPr>
              <w:rPr>
                <w:rFonts w:eastAsia="Calibri"/>
                <w:b/>
                <w:i/>
                <w:noProof/>
              </w:rPr>
            </w:pPr>
            <w:r>
              <w:rPr>
                <w:b/>
                <w:i/>
                <w:noProof/>
              </w:rPr>
              <w:t>Kriteriji prihvatljivosti</w:t>
            </w:r>
          </w:p>
          <w:p w:rsidR="00476EE5" w:rsidRPr="00566A10" w:rsidRDefault="00476EE5" w:rsidP="00472459">
            <w:pPr>
              <w:rPr>
                <w:rFonts w:eastAsia="Calibri"/>
                <w:noProof/>
              </w:rPr>
            </w:pPr>
            <w:r>
              <w:t>Prema članku 3. Uredbe (EU) br. 1294/2013 korisnici bespovratnih sredstava bit će carinske uprave država članica i drugih prihvatljivih zemalja koje ispunjavaju uvjete za sudjelovanje navedene u članku 3. stavku 2. Uredbe (EU) br. 1294/2013.</w:t>
            </w:r>
          </w:p>
          <w:p w:rsidR="00476EE5" w:rsidRPr="00566A10" w:rsidRDefault="00476EE5" w:rsidP="00472459">
            <w:pPr>
              <w:rPr>
                <w:rFonts w:eastAsia="Calibri"/>
                <w:noProof/>
              </w:rPr>
            </w:pPr>
            <w:r>
              <w:t>Predložene aktivnosti moraju biti dio prihvatljivih mjera iz članka 7. točke (a) podtočke v. Uredbe (EU) br. 1294/2013.</w:t>
            </w:r>
          </w:p>
          <w:p w:rsidR="00476EE5" w:rsidRPr="006A6002" w:rsidRDefault="00476EE5" w:rsidP="00472459">
            <w:pPr>
              <w:rPr>
                <w:rFonts w:eastAsia="Calibri"/>
                <w:b/>
                <w:i/>
                <w:noProof/>
              </w:rPr>
            </w:pPr>
            <w:r>
              <w:rPr>
                <w:b/>
                <w:i/>
                <w:noProof/>
              </w:rPr>
              <w:t>Kriteriji za odabir</w:t>
            </w:r>
          </w:p>
          <w:p w:rsidR="00476EE5" w:rsidRPr="00566A10" w:rsidRDefault="00476EE5" w:rsidP="00472459">
            <w:pPr>
              <w:rPr>
                <w:rFonts w:eastAsia="Calibri"/>
                <w:noProof/>
              </w:rPr>
            </w:pPr>
            <w:r>
              <w:t>U skladu s člankom 131. stavkom 3. Uredbe (EU, Euratom) br. 966/2012, financijski i operativni kapaciteti korisnika neće se provjeravati jer su korisnici javne uprave.</w:t>
            </w:r>
          </w:p>
          <w:p w:rsidR="00476EE5" w:rsidRPr="006A6002" w:rsidRDefault="00476EE5" w:rsidP="00472459">
            <w:pPr>
              <w:rPr>
                <w:rFonts w:eastAsia="Calibri"/>
                <w:b/>
                <w:i/>
                <w:noProof/>
              </w:rPr>
            </w:pPr>
            <w:r>
              <w:rPr>
                <w:b/>
                <w:i/>
                <w:noProof/>
              </w:rPr>
              <w:t>Kriteriji za dodjelu</w:t>
            </w:r>
          </w:p>
          <w:p w:rsidR="00476EE5" w:rsidRPr="00566A10" w:rsidRDefault="00476EE5" w:rsidP="00472459">
            <w:pPr>
              <w:rPr>
                <w:noProof/>
              </w:rPr>
            </w:pPr>
            <w:r>
              <w:t>Bespovratna sredstva dodijelit će se na temelju njihove važnosti, usklađenosti i dodane vrijednosti za Uniju, metodoloških i organizacijskih kvaliteta, upravljanja i namjenskih sredstava te očekivanih rezultata i ostvarene vrijednosti za uložena novčana sredstva.</w:t>
            </w:r>
          </w:p>
        </w:tc>
      </w:tr>
    </w:tbl>
    <w:p w:rsidR="00476EE5" w:rsidRPr="00566A10" w:rsidRDefault="00476EE5" w:rsidP="00476EE5">
      <w:pPr>
        <w:rPr>
          <w:noProof/>
        </w:rPr>
      </w:pPr>
      <w:r>
        <w:t>Provodi</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t>GU TAXUD</w:t>
            </w:r>
          </w:p>
        </w:tc>
      </w:tr>
    </w:tbl>
    <w:p w:rsidR="00476EE5" w:rsidRPr="00566A10" w:rsidRDefault="00476EE5" w:rsidP="00476EE5">
      <w:pPr>
        <w:rPr>
          <w:noProof/>
        </w:rPr>
      </w:pPr>
      <w:r>
        <w:t>Okvirni vremenski raspored i okvirni iznos bespovratnih sredstava koja se dodjeljuju bez poziva za podnošenje prijedloga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16"/>
        <w:gridCol w:w="3026"/>
      </w:tblGrid>
      <w:tr w:rsidR="00476EE5" w:rsidRPr="006A6002" w:rsidTr="00472459">
        <w:tc>
          <w:tcPr>
            <w:tcW w:w="3095" w:type="dxa"/>
            <w:shd w:val="clear" w:color="auto" w:fill="auto"/>
          </w:tcPr>
          <w:p w:rsidR="00476EE5" w:rsidRPr="006A6002" w:rsidRDefault="00476EE5" w:rsidP="00472459">
            <w:pPr>
              <w:jc w:val="center"/>
              <w:rPr>
                <w:b/>
                <w:noProof/>
              </w:rPr>
            </w:pPr>
            <w:r>
              <w:rPr>
                <w:b/>
                <w:noProof/>
              </w:rPr>
              <w:t>Referenca</w:t>
            </w:r>
          </w:p>
        </w:tc>
        <w:tc>
          <w:tcPr>
            <w:tcW w:w="3095" w:type="dxa"/>
            <w:shd w:val="clear" w:color="auto" w:fill="auto"/>
          </w:tcPr>
          <w:p w:rsidR="00476EE5" w:rsidRPr="006A6002" w:rsidRDefault="00476EE5" w:rsidP="00472459">
            <w:pPr>
              <w:jc w:val="center"/>
              <w:rPr>
                <w:b/>
                <w:noProof/>
              </w:rPr>
            </w:pPr>
            <w:r>
              <w:rPr>
                <w:b/>
                <w:noProof/>
              </w:rPr>
              <w:t>Datum</w:t>
            </w:r>
          </w:p>
        </w:tc>
        <w:tc>
          <w:tcPr>
            <w:tcW w:w="3095" w:type="dxa"/>
            <w:shd w:val="clear" w:color="auto" w:fill="auto"/>
          </w:tcPr>
          <w:p w:rsidR="00476EE5" w:rsidRPr="006A6002" w:rsidRDefault="00476EE5" w:rsidP="00472459">
            <w:pPr>
              <w:jc w:val="center"/>
              <w:rPr>
                <w:b/>
                <w:noProof/>
              </w:rPr>
            </w:pPr>
            <w:r>
              <w:rPr>
                <w:b/>
                <w:noProof/>
              </w:rPr>
              <w:t>Iznos</w:t>
            </w:r>
          </w:p>
        </w:tc>
      </w:tr>
      <w:tr w:rsidR="00476EE5" w:rsidRPr="00566A10" w:rsidTr="00472459">
        <w:tc>
          <w:tcPr>
            <w:tcW w:w="3095" w:type="dxa"/>
            <w:shd w:val="clear" w:color="auto" w:fill="auto"/>
          </w:tcPr>
          <w:p w:rsidR="00476EE5" w:rsidRPr="00566A10" w:rsidRDefault="00476EE5" w:rsidP="00472459">
            <w:pPr>
              <w:rPr>
                <w:noProof/>
              </w:rPr>
            </w:pPr>
            <w:r>
              <w:t>Bespovratna sredstva za stručni tim zadužen za udruživanje i dijeljenje posebnog analitičkog stručnog znanja carinskih laboratorija na razini Europske unije</w:t>
            </w:r>
          </w:p>
        </w:tc>
        <w:tc>
          <w:tcPr>
            <w:tcW w:w="3095" w:type="dxa"/>
            <w:shd w:val="clear" w:color="auto" w:fill="auto"/>
          </w:tcPr>
          <w:p w:rsidR="00476EE5" w:rsidRPr="00566A10" w:rsidRDefault="00476EE5" w:rsidP="00472459">
            <w:pPr>
              <w:rPr>
                <w:noProof/>
              </w:rPr>
            </w:pPr>
            <w:r>
              <w:t>Četvrto tromjesečje 2018.</w:t>
            </w:r>
          </w:p>
        </w:tc>
        <w:tc>
          <w:tcPr>
            <w:tcW w:w="3095" w:type="dxa"/>
            <w:shd w:val="clear" w:color="auto" w:fill="auto"/>
          </w:tcPr>
          <w:p w:rsidR="00476EE5" w:rsidRPr="00566A10" w:rsidRDefault="00476EE5" w:rsidP="00472459">
            <w:pPr>
              <w:rPr>
                <w:noProof/>
              </w:rPr>
            </w:pPr>
            <w:r>
              <w:t>610 000 EUR</w:t>
            </w:r>
          </w:p>
        </w:tc>
      </w:tr>
    </w:tbl>
    <w:p w:rsidR="00476EE5" w:rsidRPr="00566A10" w:rsidRDefault="00476EE5" w:rsidP="00476EE5">
      <w:pPr>
        <w:rPr>
          <w:noProof/>
        </w:rPr>
      </w:pPr>
      <w:r>
        <w:t xml:space="preserve">Najviša moguća stopa sufinanciranja prihvatljivih troškova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6A6002" w:rsidRDefault="00476EE5" w:rsidP="00472459">
            <w:pPr>
              <w:rPr>
                <w:b/>
                <w:noProof/>
              </w:rPr>
            </w:pPr>
            <w:r>
              <w:rPr>
                <w:b/>
                <w:noProof/>
              </w:rPr>
              <w:t>Opis bespovratnih sredstava</w:t>
            </w:r>
          </w:p>
          <w:p w:rsidR="00476EE5" w:rsidRPr="00566A10" w:rsidRDefault="00476EE5" w:rsidP="00472459">
            <w:pPr>
              <w:rPr>
                <w:noProof/>
              </w:rPr>
            </w:pPr>
            <w:r>
              <w:t>Bespovratna sredstva bit će kombinacija:</w:t>
            </w:r>
          </w:p>
          <w:p w:rsidR="00476EE5" w:rsidRPr="00566A10" w:rsidRDefault="00476EE5" w:rsidP="00782113">
            <w:pPr>
              <w:pStyle w:val="Tiret0"/>
              <w:numPr>
                <w:ilvl w:val="0"/>
                <w:numId w:val="35"/>
              </w:numPr>
              <w:rPr>
                <w:noProof/>
              </w:rPr>
            </w:pPr>
            <w:r>
              <w:t>nadoknade sljedećih prihvatljivih i stvarno nastalih troškova korisnika za sljedeće stavke:</w:t>
            </w:r>
          </w:p>
          <w:p w:rsidR="00476EE5" w:rsidRPr="00566A10" w:rsidRDefault="00476EE5" w:rsidP="00114F9A">
            <w:pPr>
              <w:pStyle w:val="Point1letter"/>
              <w:numPr>
                <w:ilvl w:val="3"/>
                <w:numId w:val="50"/>
              </w:numPr>
              <w:rPr>
                <w:noProof/>
              </w:rPr>
            </w:pPr>
            <w:r>
              <w:t>troškovi za putovanja, do 100 %;</w:t>
            </w:r>
          </w:p>
          <w:p w:rsidR="00476EE5" w:rsidRPr="00566A10" w:rsidRDefault="00476EE5" w:rsidP="00782113">
            <w:pPr>
              <w:pStyle w:val="Point1letter"/>
              <w:numPr>
                <w:ilvl w:val="3"/>
                <w:numId w:val="36"/>
              </w:numPr>
              <w:rPr>
                <w:noProof/>
              </w:rPr>
            </w:pPr>
            <w:r>
              <w:t>troškovi ugošćivanja stručnjaka u okviru projekta, do 100 %;</w:t>
            </w:r>
          </w:p>
          <w:p w:rsidR="00476EE5" w:rsidRPr="00566A10" w:rsidRDefault="00476EE5" w:rsidP="00782113">
            <w:pPr>
              <w:pStyle w:val="Point1letter"/>
              <w:numPr>
                <w:ilvl w:val="3"/>
                <w:numId w:val="36"/>
              </w:numPr>
              <w:rPr>
                <w:noProof/>
              </w:rPr>
            </w:pPr>
            <w:r>
              <w:lastRenderedPageBreak/>
              <w:t>izravni troškovi za osoblje, do 50 %;</w:t>
            </w:r>
          </w:p>
          <w:p w:rsidR="00476EE5" w:rsidRPr="00566A10" w:rsidRDefault="00476EE5" w:rsidP="00782113">
            <w:pPr>
              <w:pStyle w:val="Point1letter"/>
              <w:numPr>
                <w:ilvl w:val="3"/>
                <w:numId w:val="36"/>
              </w:numPr>
              <w:rPr>
                <w:noProof/>
              </w:rPr>
            </w:pPr>
            <w:r>
              <w:t>troškovi amortizacije opreme potrebne za projekt (samo troškovi amortizacije razmjerno vremenu postojanja stručnog tima), do 75 %;</w:t>
            </w:r>
          </w:p>
          <w:p w:rsidR="00476EE5" w:rsidRPr="00566A10" w:rsidRDefault="00476EE5" w:rsidP="00782113">
            <w:pPr>
              <w:pStyle w:val="Point1letter"/>
              <w:numPr>
                <w:ilvl w:val="3"/>
                <w:numId w:val="36"/>
              </w:numPr>
              <w:rPr>
                <w:noProof/>
              </w:rPr>
            </w:pPr>
            <w:r>
              <w:t>troškovi podugovaranja (vanjske usluge za zapošljavanje stručnjaka koje su ograničene opsegom i na dijelove projekta koji nisu ključni), do 75 %;</w:t>
            </w:r>
          </w:p>
          <w:p w:rsidR="00476EE5" w:rsidRPr="00566A10" w:rsidRDefault="00476EE5" w:rsidP="00782113">
            <w:pPr>
              <w:pStyle w:val="Point1letter"/>
              <w:numPr>
                <w:ilvl w:val="3"/>
                <w:numId w:val="36"/>
              </w:numPr>
              <w:rPr>
                <w:noProof/>
              </w:rPr>
            </w:pPr>
            <w:r>
              <w:t>ostali izravni troškovi (npr. organizacijski troškovi za događaje, tiskanje promotivnog materijala, kupnja potrošnog materijala i zaliha potrebnih za projekt), do 100 %.</w:t>
            </w:r>
          </w:p>
          <w:p w:rsidR="00476EE5" w:rsidRPr="00566A10" w:rsidRDefault="00476EE5" w:rsidP="00782113">
            <w:pPr>
              <w:pStyle w:val="Tiret0"/>
              <w:numPr>
                <w:ilvl w:val="0"/>
                <w:numId w:val="35"/>
              </w:numPr>
              <w:rPr>
                <w:noProof/>
              </w:rPr>
            </w:pPr>
            <w:r>
              <w:t>nadoknade na temelju jediničnih troškova za dnevnice i troškove smještaja za nacionalne izaslanike. Iznosi koji će se iskoristiti utvrđeni su u Odluci Komisije o općim provedbenim odredbama o donošenju Pravilnika o službenim putovanjima dužnosnika i ostalih službenika Europske komisije</w:t>
            </w:r>
            <w:r>
              <w:rPr>
                <w:rStyle w:val="FootnoteReference"/>
                <w:noProof/>
              </w:rPr>
              <w:footnoteReference w:id="8"/>
            </w:r>
            <w:r>
              <w:t xml:space="preserve"> koja je na snazi u trenutku potpisivanja sporazuma o dodjeli bespovratnih sredstava. Popis jediničnih troškova prilaže se sporazumu o dodjeli bespovratnih sredstava.</w:t>
            </w:r>
          </w:p>
          <w:p w:rsidR="00476EE5" w:rsidRPr="00566A10" w:rsidRDefault="00476EE5" w:rsidP="00782113">
            <w:pPr>
              <w:pStyle w:val="Tiret0"/>
              <w:numPr>
                <w:ilvl w:val="0"/>
                <w:numId w:val="35"/>
              </w:numPr>
              <w:rPr>
                <w:noProof/>
              </w:rPr>
            </w:pPr>
            <w:r>
              <w:t>nadoknada na temelju paušalne stope za neizravne troškove (režijski troškovi), u iznosu od 7 % svih izravnih prihvatljivih troškova.</w:t>
            </w:r>
          </w:p>
        </w:tc>
      </w:tr>
    </w:tbl>
    <w:p w:rsidR="00476EE5" w:rsidRPr="007E587F" w:rsidRDefault="00476EE5" w:rsidP="00476EE5">
      <w:pPr>
        <w:pStyle w:val="Heading3"/>
        <w:rPr>
          <w:noProof/>
        </w:rPr>
      </w:pPr>
      <w:r>
        <w:lastRenderedPageBreak/>
        <w:t>Bespovratna sredstva za Carinski stručni tim za istočnu i jugoistočnu kopnenu granicu (CELBET II)</w:t>
      </w:r>
    </w:p>
    <w:p w:rsidR="00476EE5" w:rsidRPr="00566A10" w:rsidRDefault="00476EE5" w:rsidP="00472459">
      <w:pPr>
        <w:keepNext/>
        <w:keepLines/>
        <w:rPr>
          <w:noProof/>
        </w:rPr>
      </w:pPr>
      <w:r>
        <w:t>PRAVNA OSNOVA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keepNext/>
              <w:keepLines/>
              <w:rPr>
                <w:noProof/>
              </w:rPr>
            </w:pPr>
            <w:r>
              <w:t>Članak 5. stavak 2. i stavak 7. točka (a) podtočka v. Uredbe (EU) br. 1294/2013</w:t>
            </w:r>
          </w:p>
          <w:p w:rsidR="00476EE5" w:rsidRPr="00566A10" w:rsidRDefault="00476EE5" w:rsidP="00472459">
            <w:pPr>
              <w:rPr>
                <w:noProof/>
              </w:rPr>
            </w:pPr>
            <w:r>
              <w:rPr>
                <w:b/>
                <w:noProof/>
              </w:rPr>
              <w:t xml:space="preserve">Posebni cilj: </w:t>
            </w:r>
            <w:r>
              <w:t>potpora carinskim tijelima za zaštitu financijskih i gospodarskih interesa Unije i država članica, uključujući borbu protiv prijevare i zaštitu prava intelektualnog vlasništva, za povećanje sigurnosti i zaštite, zaštitu građana i okoliša, poboljšanje administrativnih kapaciteta carinskih tijela i jačanje konkurentnosti europskih poduzeća.</w:t>
            </w:r>
          </w:p>
        </w:tc>
      </w:tr>
    </w:tbl>
    <w:p w:rsidR="00476EE5" w:rsidRPr="00566A10" w:rsidRDefault="00476EE5" w:rsidP="00476EE5">
      <w:pPr>
        <w:rPr>
          <w:noProof/>
        </w:rPr>
      </w:pPr>
      <w:r>
        <w:t>PRORAČUNSKA LINIJA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t>14 02 01</w:t>
            </w:r>
          </w:p>
        </w:tc>
      </w:tr>
    </w:tbl>
    <w:p w:rsidR="00476EE5" w:rsidRPr="00566A10" w:rsidRDefault="00476EE5" w:rsidP="00476EE5">
      <w:pPr>
        <w:rPr>
          <w:noProof/>
        </w:rPr>
      </w:pPr>
      <w:r>
        <w:t xml:space="preserve">Prioriteti stručnog tima, ciljevi koji se žele postići i očekivani rezultati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557"/>
        </w:trPr>
        <w:tc>
          <w:tcPr>
            <w:tcW w:w="9286" w:type="dxa"/>
          </w:tcPr>
          <w:p w:rsidR="00476EE5" w:rsidRPr="00566A10" w:rsidRDefault="00476EE5" w:rsidP="00472459">
            <w:pPr>
              <w:rPr>
                <w:noProof/>
              </w:rPr>
            </w:pPr>
            <w:r>
              <w:t>Europska unija ima isključivu nadležnost u carinskim pitanjima kao što su carinska unija i zajednička trgovinska politika. Iako Unija ima isključivo pravo predlagati zakonodavstvo u tim područjima, države članice i njihove nacionalne carinske uprave sudjeluju u svakodnevnoj provedbi i radu carine uključujući upravljanje vanjskom granicom Unije.</w:t>
            </w:r>
          </w:p>
          <w:p w:rsidR="00476EE5" w:rsidRPr="00566A10" w:rsidRDefault="00476EE5" w:rsidP="00472459">
            <w:pPr>
              <w:rPr>
                <w:noProof/>
              </w:rPr>
            </w:pPr>
            <w:r>
              <w:t>Roba koja se unosi u Europsku uniju preko istočne i jugoistočne granice kreće se slobodno unutar Unije. Učinkovita i djelotvorna carinska provjera na vanjskoj granici stoga je vrlo važna za cijelu Uniju kako bi se očuvala sigurnost, zdravlje i zaštita njezinih građana i financijskog interesa Unije i njezinih država članica. Kopnena granica Unije, osobito njezin istočni i jugoistočni dio, mora se dostatno i jednakomjerno zaštititi duž svih svojih crta kako bi se stvorili i ravnopravni uvjeti za zakonitu trgovinu. Učinkovitom carinskom kontrolom smanjit će se prijevare, pridonijet će se smanjenju krijumčarenja i istovremeno će se olakšati zakonita trgovina.</w:t>
            </w:r>
          </w:p>
          <w:p w:rsidR="00476EE5" w:rsidRPr="00566A10" w:rsidRDefault="00476EE5" w:rsidP="00472459">
            <w:pPr>
              <w:rPr>
                <w:noProof/>
              </w:rPr>
            </w:pPr>
            <w:r>
              <w:lastRenderedPageBreak/>
              <w:t>Stvaranje stručnog tima CELBET II omogućit će carinskim upravama država članica sudionica – na temelju rezultata stručnog tima CELBET I – da se intenzivnije bave pitanjima upravljanja istočnom i jugoistočnom kopnenom granicom Unije i da dalje obavljaju operativne zadatke u interesu drugih država članica i Unije. Sveobuhvatnim i dosljednim pristupom stručni će tim nastojati uskladiti aktivnosti carinske kontrole i metode rada, tehnologiju za otkrivanje i osposobljavanje. Stručni će tim pružiti stručno znanje i dati prijedloge koji se temelje na praktičnom iskustvu, operativnoj suradnji i postignutim rezultatima radi daljnjeg unaprjeđenja operativnog upravljanja istočnom i jugoistočnom kopnenom granicom Unije.</w:t>
            </w:r>
          </w:p>
        </w:tc>
      </w:tr>
    </w:tbl>
    <w:p w:rsidR="00476EE5" w:rsidRPr="00566A10" w:rsidRDefault="00476EE5" w:rsidP="00472459">
      <w:pPr>
        <w:keepNext/>
        <w:keepLines/>
        <w:rPr>
          <w:noProof/>
        </w:rPr>
      </w:pPr>
      <w:r>
        <w:lastRenderedPageBreak/>
        <w:t>Opis aktivnosti koje će se financirati bespovratnim sredstvima koja se dodjeljuju bez poziva na podnošenje prijedloga na temelju članka 190. Delegirane uredbe (EU) br. 1268/2012</w:t>
      </w:r>
      <w:r>
        <w:rPr>
          <w:rStyle w:val="FootnoteReference"/>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1338"/>
        </w:trPr>
        <w:tc>
          <w:tcPr>
            <w:tcW w:w="9286" w:type="dxa"/>
          </w:tcPr>
          <w:p w:rsidR="00476EE5" w:rsidRPr="006A6002" w:rsidRDefault="00476EE5" w:rsidP="00472459">
            <w:pPr>
              <w:rPr>
                <w:rFonts w:eastAsia="Calibri"/>
                <w:b/>
                <w:noProof/>
              </w:rPr>
            </w:pPr>
            <w:r>
              <w:rPr>
                <w:b/>
                <w:noProof/>
              </w:rPr>
              <w:t xml:space="preserve">Bespovratnim sredstvima financirat će se aktivnosti za: </w:t>
            </w:r>
          </w:p>
          <w:p w:rsidR="00476EE5" w:rsidRPr="00566A10" w:rsidRDefault="00476EE5" w:rsidP="00782113">
            <w:pPr>
              <w:pStyle w:val="Tiret0"/>
              <w:numPr>
                <w:ilvl w:val="0"/>
                <w:numId w:val="35"/>
              </w:numPr>
              <w:rPr>
                <w:noProof/>
              </w:rPr>
            </w:pPr>
            <w:r>
              <w:t>upravljanje rizicima (uključujući odabir provjere / olakšavanja trgovine na temelju rizika),</w:t>
            </w:r>
          </w:p>
          <w:p w:rsidR="00476EE5" w:rsidRPr="00566A10" w:rsidRDefault="00476EE5" w:rsidP="00782113">
            <w:pPr>
              <w:pStyle w:val="Tiret0"/>
              <w:numPr>
                <w:ilvl w:val="0"/>
                <w:numId w:val="35"/>
              </w:numPr>
              <w:rPr>
                <w:noProof/>
              </w:rPr>
            </w:pPr>
            <w:r>
              <w:t xml:space="preserve">prikupljanje podataka i provedbu operativnih kontrola, </w:t>
            </w:r>
          </w:p>
          <w:p w:rsidR="00476EE5" w:rsidRPr="00566A10" w:rsidRDefault="00476EE5" w:rsidP="00782113">
            <w:pPr>
              <w:pStyle w:val="Tiret0"/>
              <w:numPr>
                <w:ilvl w:val="0"/>
                <w:numId w:val="35"/>
              </w:numPr>
              <w:rPr>
                <w:noProof/>
              </w:rPr>
            </w:pPr>
            <w:r>
              <w:t>popis i analizu opreme za carinsku provjeru,</w:t>
            </w:r>
          </w:p>
          <w:p w:rsidR="00476EE5" w:rsidRPr="00566A10" w:rsidRDefault="00476EE5" w:rsidP="00782113">
            <w:pPr>
              <w:pStyle w:val="Tiret0"/>
              <w:numPr>
                <w:ilvl w:val="0"/>
                <w:numId w:val="35"/>
              </w:numPr>
              <w:rPr>
                <w:noProof/>
              </w:rPr>
            </w:pPr>
            <w:r>
              <w:t>definiranje i razvoj materijala za osposobljavanje,</w:t>
            </w:r>
          </w:p>
          <w:p w:rsidR="00476EE5" w:rsidRPr="00566A10" w:rsidRDefault="00476EE5" w:rsidP="00782113">
            <w:pPr>
              <w:pStyle w:val="Tiret0"/>
              <w:numPr>
                <w:ilvl w:val="0"/>
                <w:numId w:val="35"/>
              </w:numPr>
              <w:rPr>
                <w:noProof/>
              </w:rPr>
            </w:pPr>
            <w:r>
              <w:t>upravljanje i ocjenu graničnih prijelaza i mrežu graničnih prijelaza,</w:t>
            </w:r>
          </w:p>
          <w:p w:rsidR="00476EE5" w:rsidRPr="00566A10" w:rsidRDefault="00476EE5" w:rsidP="00782113">
            <w:pPr>
              <w:pStyle w:val="Tiret0"/>
              <w:numPr>
                <w:ilvl w:val="0"/>
                <w:numId w:val="35"/>
              </w:numPr>
              <w:rPr>
                <w:noProof/>
              </w:rPr>
            </w:pPr>
            <w:r>
              <w:t>suradnju sa susjednim zemljama.</w:t>
            </w:r>
          </w:p>
        </w:tc>
      </w:tr>
    </w:tbl>
    <w:p w:rsidR="00476EE5" w:rsidRPr="00566A10" w:rsidRDefault="00476EE5" w:rsidP="00476EE5">
      <w:pPr>
        <w:rPr>
          <w:noProof/>
        </w:rPr>
      </w:pPr>
      <w:r>
        <w:t>Osnovni kriteriji prihvatljivosti i odabira te kriteriji za dodjelu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273"/>
        </w:trPr>
        <w:tc>
          <w:tcPr>
            <w:tcW w:w="9286" w:type="dxa"/>
          </w:tcPr>
          <w:p w:rsidR="00476EE5" w:rsidRPr="006A6002" w:rsidRDefault="00476EE5" w:rsidP="00472459">
            <w:pPr>
              <w:rPr>
                <w:rFonts w:eastAsia="Calibri"/>
                <w:b/>
                <w:noProof/>
              </w:rPr>
            </w:pPr>
            <w:r>
              <w:rPr>
                <w:b/>
                <w:noProof/>
              </w:rPr>
              <w:t>Bespovratna sredstva dodjeljuju se na temelju sljedećih kriterija:</w:t>
            </w:r>
          </w:p>
          <w:p w:rsidR="00476EE5" w:rsidRPr="006A6002" w:rsidRDefault="00476EE5" w:rsidP="00472459">
            <w:pPr>
              <w:rPr>
                <w:rFonts w:eastAsia="Calibri"/>
                <w:b/>
                <w:i/>
                <w:noProof/>
              </w:rPr>
            </w:pPr>
            <w:r>
              <w:rPr>
                <w:b/>
                <w:i/>
                <w:noProof/>
              </w:rPr>
              <w:t>Kriteriji prihvatljivosti</w:t>
            </w:r>
          </w:p>
          <w:p w:rsidR="00476EE5" w:rsidRPr="00566A10" w:rsidRDefault="00476EE5" w:rsidP="00472459">
            <w:pPr>
              <w:rPr>
                <w:rFonts w:eastAsia="Calibri"/>
                <w:noProof/>
              </w:rPr>
            </w:pPr>
            <w:r>
              <w:t>Prema članku 3. Uredbe (EU) br. 1294/2013 korisnici bespovratnih sredstava bit će carinske uprave država članica i drugih prihvatljivih zemalja koje ispunjavaju uvjete za sudjelovanje navedene u članku 3. stavku 2. Uredbe (EU) br. 1294/2013.</w:t>
            </w:r>
          </w:p>
          <w:p w:rsidR="00476EE5" w:rsidRPr="00566A10" w:rsidRDefault="00476EE5" w:rsidP="00472459">
            <w:pPr>
              <w:rPr>
                <w:rFonts w:eastAsia="Calibri"/>
                <w:noProof/>
              </w:rPr>
            </w:pPr>
            <w:r>
              <w:t>Predložene aktivnosti moraju biti dio prihvatljivih mjera iz članka 7. točke (a) podtočke v. Uredbe (EU) br. 1294/2013.</w:t>
            </w:r>
          </w:p>
          <w:p w:rsidR="00476EE5" w:rsidRPr="006A6002" w:rsidRDefault="00476EE5" w:rsidP="00472459">
            <w:pPr>
              <w:rPr>
                <w:rFonts w:eastAsia="Calibri"/>
                <w:b/>
                <w:i/>
                <w:noProof/>
              </w:rPr>
            </w:pPr>
            <w:r>
              <w:rPr>
                <w:b/>
                <w:i/>
                <w:noProof/>
              </w:rPr>
              <w:t>Kriteriji za odabir</w:t>
            </w:r>
          </w:p>
          <w:p w:rsidR="00476EE5" w:rsidRPr="00566A10" w:rsidRDefault="00476EE5" w:rsidP="00472459">
            <w:pPr>
              <w:rPr>
                <w:rFonts w:eastAsia="Calibri"/>
                <w:noProof/>
              </w:rPr>
            </w:pPr>
            <w:r>
              <w:t>U skladu s člankom 131. stavkom 3. Uredbe (EU, Euratom) br. 966/2012, financijski i operativni kapaciteti korisnika neće se provjeravati jer su korisnici javne uprave.</w:t>
            </w:r>
          </w:p>
          <w:p w:rsidR="00476EE5" w:rsidRPr="006A6002" w:rsidRDefault="00476EE5" w:rsidP="00472459">
            <w:pPr>
              <w:keepNext/>
              <w:keepLines/>
              <w:rPr>
                <w:rFonts w:eastAsia="Calibri"/>
                <w:b/>
                <w:i/>
                <w:noProof/>
              </w:rPr>
            </w:pPr>
            <w:r>
              <w:rPr>
                <w:b/>
                <w:i/>
                <w:noProof/>
              </w:rPr>
              <w:t>Kriteriji za dodjelu</w:t>
            </w:r>
          </w:p>
          <w:p w:rsidR="00476EE5" w:rsidRPr="00566A10" w:rsidRDefault="00476EE5" w:rsidP="00472459">
            <w:pPr>
              <w:rPr>
                <w:noProof/>
              </w:rPr>
            </w:pPr>
            <w:r>
              <w:t>Bespovratna sredstva dodijelit će se na temelju njihove važnosti, usklađenosti i dodane vrijednosti za Uniju, metodoloških i organizacijskih kvaliteta, upravljanja i namjenskih sredstava te očekivanih rezultata i ostvarene vrijednosti za uložena novčana sredstva.</w:t>
            </w:r>
          </w:p>
        </w:tc>
      </w:tr>
    </w:tbl>
    <w:p w:rsidR="00476EE5" w:rsidRPr="00566A10" w:rsidRDefault="00476EE5" w:rsidP="00476EE5">
      <w:pPr>
        <w:rPr>
          <w:noProof/>
        </w:rPr>
      </w:pPr>
      <w:r>
        <w:t>Provodi</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t>GU TAXUD</w:t>
            </w:r>
          </w:p>
        </w:tc>
      </w:tr>
    </w:tbl>
    <w:p w:rsidR="00476EE5" w:rsidRPr="00566A10" w:rsidRDefault="00476EE5" w:rsidP="00472459">
      <w:pPr>
        <w:keepNext/>
        <w:keepLines/>
        <w:rPr>
          <w:noProof/>
        </w:rPr>
      </w:pPr>
      <w:r>
        <w:lastRenderedPageBreak/>
        <w:t>Okvirni vremenski raspored i okvirni iznos bespovratnih sredstava koja se dodjeljuju bez poziva za podnošenje prijedloga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14"/>
        <w:gridCol w:w="3032"/>
      </w:tblGrid>
      <w:tr w:rsidR="00476EE5" w:rsidRPr="00566A10" w:rsidTr="00472459">
        <w:tc>
          <w:tcPr>
            <w:tcW w:w="3095" w:type="dxa"/>
            <w:shd w:val="clear" w:color="auto" w:fill="auto"/>
          </w:tcPr>
          <w:p w:rsidR="00476EE5" w:rsidRPr="006A6002" w:rsidRDefault="00476EE5" w:rsidP="00472459">
            <w:pPr>
              <w:keepNext/>
              <w:keepLines/>
              <w:jc w:val="center"/>
              <w:rPr>
                <w:b/>
                <w:noProof/>
              </w:rPr>
            </w:pPr>
            <w:r>
              <w:rPr>
                <w:b/>
                <w:noProof/>
              </w:rPr>
              <w:t>Referenca</w:t>
            </w:r>
          </w:p>
        </w:tc>
        <w:tc>
          <w:tcPr>
            <w:tcW w:w="3095" w:type="dxa"/>
            <w:shd w:val="clear" w:color="auto" w:fill="auto"/>
          </w:tcPr>
          <w:p w:rsidR="00476EE5" w:rsidRPr="006A6002" w:rsidRDefault="00476EE5" w:rsidP="00472459">
            <w:pPr>
              <w:keepNext/>
              <w:keepLines/>
              <w:jc w:val="center"/>
              <w:rPr>
                <w:b/>
                <w:noProof/>
              </w:rPr>
            </w:pPr>
            <w:r>
              <w:rPr>
                <w:b/>
                <w:noProof/>
              </w:rPr>
              <w:t>Datum</w:t>
            </w:r>
          </w:p>
        </w:tc>
        <w:tc>
          <w:tcPr>
            <w:tcW w:w="3095" w:type="dxa"/>
            <w:shd w:val="clear" w:color="auto" w:fill="auto"/>
          </w:tcPr>
          <w:p w:rsidR="00476EE5" w:rsidRPr="006A6002" w:rsidRDefault="00476EE5" w:rsidP="00472459">
            <w:pPr>
              <w:keepNext/>
              <w:keepLines/>
              <w:jc w:val="center"/>
              <w:rPr>
                <w:b/>
                <w:noProof/>
              </w:rPr>
            </w:pPr>
            <w:r>
              <w:rPr>
                <w:b/>
                <w:noProof/>
              </w:rPr>
              <w:t>Iznos</w:t>
            </w:r>
          </w:p>
        </w:tc>
      </w:tr>
      <w:tr w:rsidR="00476EE5" w:rsidRPr="00566A10" w:rsidTr="00472459">
        <w:tc>
          <w:tcPr>
            <w:tcW w:w="3095" w:type="dxa"/>
            <w:shd w:val="clear" w:color="auto" w:fill="auto"/>
          </w:tcPr>
          <w:p w:rsidR="00476EE5" w:rsidRPr="00566A10" w:rsidRDefault="00476EE5" w:rsidP="00472459">
            <w:pPr>
              <w:rPr>
                <w:noProof/>
              </w:rPr>
            </w:pPr>
            <w:r>
              <w:t>Bespovratna sredstva za Carinski stručni tim za istočnu i jugoistočnu kopnenu granicu (CELBET)</w:t>
            </w:r>
          </w:p>
        </w:tc>
        <w:tc>
          <w:tcPr>
            <w:tcW w:w="3095" w:type="dxa"/>
            <w:shd w:val="clear" w:color="auto" w:fill="auto"/>
          </w:tcPr>
          <w:p w:rsidR="00476EE5" w:rsidRPr="00566A10" w:rsidRDefault="00476EE5" w:rsidP="00472459">
            <w:pPr>
              <w:rPr>
                <w:noProof/>
              </w:rPr>
            </w:pPr>
            <w:r>
              <w:t>Drugo tromjesečje 2018.</w:t>
            </w:r>
          </w:p>
        </w:tc>
        <w:tc>
          <w:tcPr>
            <w:tcW w:w="3095" w:type="dxa"/>
            <w:shd w:val="clear" w:color="auto" w:fill="auto"/>
          </w:tcPr>
          <w:p w:rsidR="00476EE5" w:rsidRPr="00566A10" w:rsidRDefault="00476EE5" w:rsidP="00472459">
            <w:pPr>
              <w:rPr>
                <w:noProof/>
              </w:rPr>
            </w:pPr>
            <w:r>
              <w:t>1 390 000 EUR</w:t>
            </w:r>
          </w:p>
        </w:tc>
      </w:tr>
    </w:tbl>
    <w:p w:rsidR="00476EE5" w:rsidRPr="00566A10" w:rsidRDefault="00476EE5" w:rsidP="00476EE5">
      <w:pPr>
        <w:rPr>
          <w:noProof/>
        </w:rPr>
      </w:pPr>
      <w:r>
        <w:t xml:space="preserve">Najviša moguća stopa sufinanciranja prihvatljivih troškova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6A6002" w:rsidRDefault="00476EE5" w:rsidP="00472459">
            <w:pPr>
              <w:rPr>
                <w:b/>
                <w:noProof/>
              </w:rPr>
            </w:pPr>
            <w:r>
              <w:rPr>
                <w:b/>
                <w:noProof/>
              </w:rPr>
              <w:t>Opis bespovratnih sredstava</w:t>
            </w:r>
          </w:p>
          <w:p w:rsidR="00476EE5" w:rsidRPr="00566A10" w:rsidRDefault="00476EE5" w:rsidP="00472459">
            <w:pPr>
              <w:rPr>
                <w:noProof/>
              </w:rPr>
            </w:pPr>
            <w:r>
              <w:t>Bespovratna sredstva bit će kombinacija:</w:t>
            </w:r>
          </w:p>
          <w:p w:rsidR="00476EE5" w:rsidRPr="00566A10" w:rsidRDefault="00476EE5" w:rsidP="00782113">
            <w:pPr>
              <w:pStyle w:val="Tiret0"/>
              <w:numPr>
                <w:ilvl w:val="0"/>
                <w:numId w:val="35"/>
              </w:numPr>
              <w:rPr>
                <w:noProof/>
              </w:rPr>
            </w:pPr>
            <w:r>
              <w:t>nadoknade sljedećih prihvatljivih i stvarno nastalih troškova korisnika za sljedeće stavke:</w:t>
            </w:r>
          </w:p>
          <w:p w:rsidR="00476EE5" w:rsidRPr="00566A10" w:rsidRDefault="00476EE5" w:rsidP="00782113">
            <w:pPr>
              <w:pStyle w:val="Point1letter"/>
              <w:numPr>
                <w:ilvl w:val="3"/>
                <w:numId w:val="39"/>
              </w:numPr>
              <w:rPr>
                <w:noProof/>
              </w:rPr>
            </w:pPr>
            <w:r>
              <w:t>troškovi za putovanja, do 100 %;</w:t>
            </w:r>
          </w:p>
          <w:p w:rsidR="00476EE5" w:rsidRPr="00566A10" w:rsidRDefault="00476EE5" w:rsidP="00782113">
            <w:pPr>
              <w:pStyle w:val="Point1letter"/>
              <w:numPr>
                <w:ilvl w:val="3"/>
                <w:numId w:val="36"/>
              </w:numPr>
              <w:rPr>
                <w:noProof/>
              </w:rPr>
            </w:pPr>
            <w:r>
              <w:t>troškovi ugošćivanja stručnjaka u okviru projekta, do 100 %;</w:t>
            </w:r>
          </w:p>
          <w:p w:rsidR="00476EE5" w:rsidRPr="00566A10" w:rsidRDefault="00476EE5" w:rsidP="00782113">
            <w:pPr>
              <w:pStyle w:val="Point1letter"/>
              <w:numPr>
                <w:ilvl w:val="3"/>
                <w:numId w:val="36"/>
              </w:numPr>
              <w:rPr>
                <w:noProof/>
              </w:rPr>
            </w:pPr>
            <w:r>
              <w:t>izravni troškovi za osoblje, do 50 %;</w:t>
            </w:r>
          </w:p>
          <w:p w:rsidR="00476EE5" w:rsidRPr="00566A10" w:rsidRDefault="00476EE5" w:rsidP="00782113">
            <w:pPr>
              <w:pStyle w:val="Point1letter"/>
              <w:numPr>
                <w:ilvl w:val="3"/>
                <w:numId w:val="36"/>
              </w:numPr>
              <w:rPr>
                <w:noProof/>
              </w:rPr>
            </w:pPr>
            <w:r>
              <w:t>troškovi amortizacije opreme potrebne za projekt (samo troškovi amortizacije razmjerno vremenu postojanja stručnog tima), do 75 %;</w:t>
            </w:r>
          </w:p>
          <w:p w:rsidR="00476EE5" w:rsidRPr="00566A10" w:rsidRDefault="00476EE5" w:rsidP="00782113">
            <w:pPr>
              <w:pStyle w:val="Point1letter"/>
              <w:numPr>
                <w:ilvl w:val="3"/>
                <w:numId w:val="36"/>
              </w:numPr>
              <w:rPr>
                <w:noProof/>
              </w:rPr>
            </w:pPr>
            <w:r>
              <w:t>troškovi podugovaranja (vanjske usluge za zapošljavanje stručnjaka koje su ograničene opsegom i na dijelove projekta koji nisu ključni), do 75 %;</w:t>
            </w:r>
          </w:p>
          <w:p w:rsidR="00476EE5" w:rsidRPr="00566A10" w:rsidRDefault="00476EE5" w:rsidP="00782113">
            <w:pPr>
              <w:pStyle w:val="Point1letter"/>
              <w:numPr>
                <w:ilvl w:val="3"/>
                <w:numId w:val="36"/>
              </w:numPr>
              <w:rPr>
                <w:noProof/>
              </w:rPr>
            </w:pPr>
            <w:r>
              <w:t>ostali izravni troškovi (npr. organizacijski troškovi za događaje, tiskanje promotivnog materijala, kupnja potrošnog materijala i zaliha potrebnih za projekt), do 100 %.</w:t>
            </w:r>
          </w:p>
          <w:p w:rsidR="00476EE5" w:rsidRPr="00566A10" w:rsidRDefault="00476EE5" w:rsidP="00782113">
            <w:pPr>
              <w:pStyle w:val="Tiret0"/>
              <w:numPr>
                <w:ilvl w:val="0"/>
                <w:numId w:val="35"/>
              </w:numPr>
              <w:rPr>
                <w:noProof/>
              </w:rPr>
            </w:pPr>
            <w:r>
              <w:t>nadoknade na temelju jediničnih troškova za dnevnice i troškove smještaja za nacionalne izaslanike. Iznosi koji će se iskoristiti utvrđeni su u Odluci Komisije o općim provedbenim odredbama o donošenju Pravilnika o službenim putovanjima dužnosnika i ostalih službenika Europske komisije</w:t>
            </w:r>
            <w:r>
              <w:rPr>
                <w:rStyle w:val="FootnoteReference"/>
                <w:noProof/>
              </w:rPr>
              <w:footnoteReference w:id="10"/>
            </w:r>
            <w:r>
              <w:t xml:space="preserve"> koja je na snazi u trenutku potpisivanja sporazuma o dodjeli bespovratnih sredstava. Popis jediničnih troškova prilaže se sporazumu o dodjeli bespovratnih sredstava.</w:t>
            </w:r>
          </w:p>
          <w:p w:rsidR="00476EE5" w:rsidRPr="00566A10" w:rsidRDefault="00476EE5" w:rsidP="00782113">
            <w:pPr>
              <w:pStyle w:val="Tiret0"/>
              <w:numPr>
                <w:ilvl w:val="0"/>
                <w:numId w:val="35"/>
              </w:numPr>
              <w:rPr>
                <w:noProof/>
              </w:rPr>
            </w:pPr>
            <w:r>
              <w:t>nadoknada na temelju paušalne stope za neizravne troškove (režijski troškovi), u iznosu od 7 % svih izravnih prihvatljivih troškova.</w:t>
            </w:r>
          </w:p>
        </w:tc>
      </w:tr>
    </w:tbl>
    <w:p w:rsidR="00476EE5" w:rsidRPr="00566A10" w:rsidRDefault="00476EE5" w:rsidP="00476EE5">
      <w:pPr>
        <w:pStyle w:val="Heading3"/>
        <w:rPr>
          <w:noProof/>
        </w:rPr>
      </w:pPr>
      <w:r>
        <w:t>Bespovratna sredstva za stručni tim zadužen za projekt zajedničkog sučelja za gospodarske subjekte u okviru sustava kontrole uvoza (ICS2)</w:t>
      </w:r>
    </w:p>
    <w:p w:rsidR="00476EE5" w:rsidRPr="00566A10" w:rsidRDefault="00476EE5" w:rsidP="00476EE5">
      <w:pPr>
        <w:rPr>
          <w:noProof/>
        </w:rPr>
      </w:pPr>
      <w:r>
        <w:t>PRAVNA OSNOVA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t>Članak 5. stavak 2. i stavak 7. točka (a) podtočka v. Uredbe (EU) br. 1294/2013</w:t>
            </w:r>
          </w:p>
          <w:p w:rsidR="00476EE5" w:rsidRPr="00566A10" w:rsidRDefault="00476EE5" w:rsidP="00472459">
            <w:pPr>
              <w:rPr>
                <w:noProof/>
              </w:rPr>
            </w:pPr>
            <w:r>
              <w:rPr>
                <w:b/>
                <w:noProof/>
              </w:rPr>
              <w:t xml:space="preserve">Posebni cilj: </w:t>
            </w:r>
            <w:r>
              <w:t>potpora carinskim tijelima za zaštitu financijskih i gospodarskih interesa Unije i država članica, uključujući borbu protiv prijevare i zaštitu prava intelektualnog vlasništva, za povećanje sigurnosti i zaštite, zaštitu građana i okoliša, poboljšanje administrativnih kapaciteta carinskih tijela i jačanje konkurentnosti europskih poduzeća.</w:t>
            </w:r>
          </w:p>
        </w:tc>
      </w:tr>
    </w:tbl>
    <w:p w:rsidR="00476EE5" w:rsidRPr="00566A10" w:rsidRDefault="00476EE5" w:rsidP="00472459">
      <w:pPr>
        <w:keepNext/>
        <w:keepLines/>
        <w:rPr>
          <w:noProof/>
        </w:rPr>
      </w:pPr>
      <w:r>
        <w:lastRenderedPageBreak/>
        <w:t>PRORAČUNSKA LINIJA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t>14 02 01</w:t>
            </w:r>
          </w:p>
        </w:tc>
      </w:tr>
    </w:tbl>
    <w:p w:rsidR="00476EE5" w:rsidRPr="00566A10" w:rsidRDefault="00476EE5" w:rsidP="00476EE5">
      <w:pPr>
        <w:rPr>
          <w:noProof/>
        </w:rPr>
      </w:pPr>
      <w:r>
        <w:t xml:space="preserve">Prioriteti stručnog tima, ciljevi koji se žele postići i očekivani rezultati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1338"/>
        </w:trPr>
        <w:tc>
          <w:tcPr>
            <w:tcW w:w="9286" w:type="dxa"/>
          </w:tcPr>
          <w:p w:rsidR="00476EE5" w:rsidRPr="00566A10" w:rsidRDefault="00476EE5" w:rsidP="00472459">
            <w:pPr>
              <w:rPr>
                <w:noProof/>
              </w:rPr>
            </w:pPr>
            <w:r>
              <w:t>Projekt zajedničkog sučelja za gospodarske subjekte (STI) sastavni je dio programa sustava kontrole uvoza (ICS2) i kao takav dio je cjelokupne provedbe reforme sustava za rano informiranje o teretu EU-a kojime se podupire provedba strategije i akcijskog plana EU-a za upravljanje rizicima u carinskim pitanjima. On državama članicama koje su odabrale zajednički razvoj i provedbu usklađenog sučelja za gospodarske subjekte (HTI) iz EU-a u okviru programa ICS2 u cijelom EU-u pruža uštedu sredstava proračuna i resurse te omogućuje daljnje olakšavanje trgovine.</w:t>
            </w:r>
          </w:p>
          <w:p w:rsidR="00476EE5" w:rsidRPr="00566A10" w:rsidRDefault="00476EE5" w:rsidP="00472459">
            <w:pPr>
              <w:rPr>
                <w:noProof/>
              </w:rPr>
            </w:pPr>
            <w:r>
              <w:t>Projekt STI službeno će biti pokrenut nakon odobrenja dokumenta o viziji STI-ja do kraja 2017. Prva faza projekta bit će faza razrade kako bi se zajednička tehnička specifikacija dovršila do sredine 2018. Fazu razrade podržat će države članice u okviru posebne projektne skupine u okviru programa Carina 2020. Od sredine 2018., kada se pretpostavlja da će započeti faza izgradnje, bolja suradnja između država članica koje se priključuju projektu STI-ja bit će prikladnija. Ovu fazu trebao bi podržati stručni tim kako bi se osigurala operativnija suradnja i omogućilo da se projekt temelji na pravom stručnom znanju te osigurala pravovremena provedba komponente do kraja 2020.</w:t>
            </w:r>
          </w:p>
        </w:tc>
      </w:tr>
    </w:tbl>
    <w:p w:rsidR="00476EE5" w:rsidRDefault="00476EE5" w:rsidP="00476EE5">
      <w:pPr>
        <w:keepNext/>
        <w:keepLines/>
        <w:rPr>
          <w:noProof/>
        </w:rPr>
      </w:pPr>
      <w:r>
        <w:t>Opis aktivnosti koje će se financirati bespovratnim sredstvima koja se dodjeljuju bez poziva na podnošenje prijedloga na temelju članka 190. Delegirane uredbe (EU) br. 1268/2012</w:t>
      </w:r>
      <w:r>
        <w:rPr>
          <w:rStyle w:val="FootnoteReference"/>
        </w:rPr>
        <w:footnote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A15481" w:rsidTr="00472459">
        <w:trPr>
          <w:trHeight w:val="1338"/>
        </w:trPr>
        <w:tc>
          <w:tcPr>
            <w:tcW w:w="9286" w:type="dxa"/>
          </w:tcPr>
          <w:p w:rsidR="00476EE5" w:rsidRPr="00CF1D14" w:rsidRDefault="00476EE5" w:rsidP="00472459">
            <w:pPr>
              <w:rPr>
                <w:b/>
                <w:noProof/>
              </w:rPr>
            </w:pPr>
            <w:r>
              <w:rPr>
                <w:b/>
                <w:noProof/>
              </w:rPr>
              <w:t xml:space="preserve">Bespovratnim sredstvima financirat će se aktivnosti za: </w:t>
            </w:r>
          </w:p>
          <w:p w:rsidR="00476EE5" w:rsidRPr="00A15481" w:rsidRDefault="00476EE5" w:rsidP="00782113">
            <w:pPr>
              <w:pStyle w:val="Tiret0"/>
              <w:numPr>
                <w:ilvl w:val="0"/>
                <w:numId w:val="35"/>
              </w:numPr>
              <w:rPr>
                <w:noProof/>
              </w:rPr>
            </w:pPr>
            <w:r>
              <w:t>razvoj funkcija u svrhu razmjene ulazne skraćene deklaracije + razmjene podataka o trgovcu,</w:t>
            </w:r>
          </w:p>
          <w:p w:rsidR="00476EE5" w:rsidRPr="00A15481" w:rsidRDefault="00476EE5" w:rsidP="00782113">
            <w:pPr>
              <w:pStyle w:val="Tiret0"/>
              <w:numPr>
                <w:ilvl w:val="0"/>
                <w:numId w:val="35"/>
              </w:numPr>
              <w:rPr>
                <w:noProof/>
              </w:rPr>
            </w:pPr>
            <w:r>
              <w:t>uspostavu interakcija između poslovnih subjekata i carinskih tijela (B2C),</w:t>
            </w:r>
          </w:p>
          <w:p w:rsidR="00476EE5" w:rsidRPr="00A15481" w:rsidRDefault="00476EE5" w:rsidP="00782113">
            <w:pPr>
              <w:pStyle w:val="Tiret0"/>
              <w:numPr>
                <w:ilvl w:val="0"/>
                <w:numId w:val="35"/>
              </w:numPr>
              <w:rPr>
                <w:noProof/>
              </w:rPr>
            </w:pPr>
            <w:r>
              <w:t>operativnu provedbu programa ICS2.</w:t>
            </w:r>
          </w:p>
        </w:tc>
      </w:tr>
    </w:tbl>
    <w:p w:rsidR="00476EE5" w:rsidRPr="00A15481" w:rsidRDefault="00476EE5" w:rsidP="00476EE5">
      <w:pPr>
        <w:keepNext/>
        <w:keepLines/>
        <w:rPr>
          <w:noProof/>
        </w:rPr>
      </w:pPr>
      <w:r>
        <w:t>Osnovni kriteriji prihvatljivosti i odabira te kriteriji za dodjelu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A15481" w:rsidTr="00472459">
        <w:trPr>
          <w:trHeight w:val="1338"/>
        </w:trPr>
        <w:tc>
          <w:tcPr>
            <w:tcW w:w="9286" w:type="dxa"/>
          </w:tcPr>
          <w:p w:rsidR="00476EE5" w:rsidRPr="00CF1D14" w:rsidRDefault="00476EE5" w:rsidP="00472459">
            <w:pPr>
              <w:rPr>
                <w:b/>
                <w:noProof/>
              </w:rPr>
            </w:pPr>
            <w:r>
              <w:rPr>
                <w:b/>
                <w:noProof/>
              </w:rPr>
              <w:t>Bespovratna sredstva dodjeljuju se na temelju sljedećih kriterija:</w:t>
            </w:r>
          </w:p>
          <w:p w:rsidR="00476EE5" w:rsidRPr="00CF1D14" w:rsidRDefault="00476EE5" w:rsidP="00472459">
            <w:pPr>
              <w:rPr>
                <w:b/>
                <w:i/>
                <w:noProof/>
              </w:rPr>
            </w:pPr>
            <w:r>
              <w:rPr>
                <w:b/>
                <w:i/>
                <w:noProof/>
              </w:rPr>
              <w:t>Kriteriji prihvatljivosti</w:t>
            </w:r>
          </w:p>
          <w:p w:rsidR="00476EE5" w:rsidRPr="00A15481" w:rsidRDefault="00476EE5" w:rsidP="00472459">
            <w:pPr>
              <w:rPr>
                <w:noProof/>
              </w:rPr>
            </w:pPr>
            <w:r>
              <w:t>Prema članku 3. Uredbe (EU) br. 1294/2013 korisnici bespovratnih sredstava bit će carinske uprave država članica i drugih prihvatljivih zemalja koje ispunjavaju uvjete za sudjelovanje navedene u članku 3. stavku 2. Uredbe (EU) br. 1294/2013.</w:t>
            </w:r>
          </w:p>
          <w:p w:rsidR="00476EE5" w:rsidRPr="00A15481" w:rsidRDefault="00476EE5" w:rsidP="00472459">
            <w:pPr>
              <w:rPr>
                <w:noProof/>
              </w:rPr>
            </w:pPr>
            <w:r>
              <w:t>Predložene aktivnosti moraju biti dio prihvatljivih mjera iz članka 7. točke (a) podtočke v. Uredbe (EU) br. 1294/2013.</w:t>
            </w:r>
          </w:p>
          <w:p w:rsidR="00472459" w:rsidRDefault="00472459" w:rsidP="00472459">
            <w:pPr>
              <w:keepNext/>
              <w:keepLines/>
              <w:rPr>
                <w:b/>
                <w:i/>
                <w:noProof/>
              </w:rPr>
            </w:pPr>
          </w:p>
          <w:p w:rsidR="00476EE5" w:rsidRPr="00CF1D14" w:rsidRDefault="00476EE5" w:rsidP="00472459">
            <w:pPr>
              <w:keepNext/>
              <w:keepLines/>
              <w:rPr>
                <w:b/>
                <w:i/>
                <w:noProof/>
              </w:rPr>
            </w:pPr>
            <w:r>
              <w:rPr>
                <w:b/>
                <w:i/>
                <w:noProof/>
              </w:rPr>
              <w:t>Kriteriji za odabir</w:t>
            </w:r>
          </w:p>
          <w:p w:rsidR="00476EE5" w:rsidRPr="00A15481" w:rsidRDefault="00476EE5" w:rsidP="00472459">
            <w:pPr>
              <w:rPr>
                <w:noProof/>
              </w:rPr>
            </w:pPr>
            <w:r>
              <w:t>U skladu s člankom 131. stavkom 3. Uredbe (EU, Euratom) br. 966/2012, financijski i operativni kapaciteti korisnika neće se provjeravati jer su korisnici javne uprave.</w:t>
            </w:r>
          </w:p>
          <w:p w:rsidR="00476EE5" w:rsidRPr="00CF1D14" w:rsidRDefault="00476EE5" w:rsidP="00472459">
            <w:pPr>
              <w:rPr>
                <w:b/>
                <w:i/>
                <w:noProof/>
              </w:rPr>
            </w:pPr>
            <w:r>
              <w:rPr>
                <w:b/>
                <w:i/>
                <w:noProof/>
              </w:rPr>
              <w:lastRenderedPageBreak/>
              <w:t>Kriteriji za dodjelu</w:t>
            </w:r>
          </w:p>
          <w:p w:rsidR="00476EE5" w:rsidRPr="00A15481" w:rsidRDefault="00476EE5" w:rsidP="00472459">
            <w:pPr>
              <w:rPr>
                <w:noProof/>
              </w:rPr>
            </w:pPr>
            <w:r>
              <w:t>Bespovratna sredstva dodijelit će se na temelju njihove važnosti, usklađenosti i dodane vrijednosti za Uniju, metodoloških i organizacijskih kvaliteta, upravljanja i namjenskih sredstava te očekivanih rezultata i ostvarene vrijednosti za uložena novčana sredstva.</w:t>
            </w:r>
          </w:p>
        </w:tc>
      </w:tr>
    </w:tbl>
    <w:p w:rsidR="00476EE5" w:rsidRPr="00A15481" w:rsidRDefault="00476EE5" w:rsidP="00476EE5">
      <w:pPr>
        <w:keepNext/>
        <w:keepLines/>
        <w:rPr>
          <w:noProof/>
        </w:rPr>
      </w:pPr>
      <w:r>
        <w:lastRenderedPageBreak/>
        <w:t>Provodi</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A15481" w:rsidTr="00472459">
        <w:trPr>
          <w:tblCellSpacing w:w="0" w:type="dxa"/>
        </w:trPr>
        <w:tc>
          <w:tcPr>
            <w:tcW w:w="9286" w:type="dxa"/>
            <w:tcBorders>
              <w:top w:val="single" w:sz="2" w:space="0" w:color="000000"/>
              <w:bottom w:val="single" w:sz="2" w:space="0" w:color="000000"/>
            </w:tcBorders>
          </w:tcPr>
          <w:p w:rsidR="00476EE5" w:rsidRPr="00A15481" w:rsidRDefault="00476EE5" w:rsidP="00472459">
            <w:pPr>
              <w:rPr>
                <w:noProof/>
              </w:rPr>
            </w:pPr>
            <w:r>
              <w:t>GU TAXUD</w:t>
            </w:r>
          </w:p>
        </w:tc>
      </w:tr>
    </w:tbl>
    <w:p w:rsidR="00476EE5" w:rsidRPr="00A15481" w:rsidRDefault="00476EE5" w:rsidP="00476EE5">
      <w:pPr>
        <w:rPr>
          <w:noProof/>
        </w:rPr>
      </w:pPr>
      <w:r>
        <w:t>Okvirni vremenski raspored i okvirni iznos bespovratnih sredstava koja se dodjeljuju bez poziva za podnošenje prijedloga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014"/>
        <w:gridCol w:w="3023"/>
      </w:tblGrid>
      <w:tr w:rsidR="00476EE5" w:rsidRPr="00A15481" w:rsidTr="00472459">
        <w:tc>
          <w:tcPr>
            <w:tcW w:w="3095" w:type="dxa"/>
            <w:shd w:val="clear" w:color="auto" w:fill="auto"/>
          </w:tcPr>
          <w:p w:rsidR="00476EE5" w:rsidRPr="00CF1D14" w:rsidRDefault="00476EE5" w:rsidP="00472459">
            <w:pPr>
              <w:jc w:val="center"/>
              <w:rPr>
                <w:b/>
                <w:noProof/>
              </w:rPr>
            </w:pPr>
            <w:r>
              <w:rPr>
                <w:b/>
                <w:noProof/>
              </w:rPr>
              <w:t>Referenca</w:t>
            </w:r>
          </w:p>
        </w:tc>
        <w:tc>
          <w:tcPr>
            <w:tcW w:w="3095" w:type="dxa"/>
            <w:shd w:val="clear" w:color="auto" w:fill="auto"/>
          </w:tcPr>
          <w:p w:rsidR="00476EE5" w:rsidRPr="00CF1D14" w:rsidRDefault="00476EE5" w:rsidP="00472459">
            <w:pPr>
              <w:jc w:val="center"/>
              <w:rPr>
                <w:b/>
                <w:noProof/>
              </w:rPr>
            </w:pPr>
            <w:r>
              <w:rPr>
                <w:b/>
                <w:noProof/>
              </w:rPr>
              <w:t>Datum</w:t>
            </w:r>
          </w:p>
        </w:tc>
        <w:tc>
          <w:tcPr>
            <w:tcW w:w="3095" w:type="dxa"/>
            <w:shd w:val="clear" w:color="auto" w:fill="auto"/>
          </w:tcPr>
          <w:p w:rsidR="00476EE5" w:rsidRPr="00CF1D14" w:rsidRDefault="00476EE5" w:rsidP="00472459">
            <w:pPr>
              <w:jc w:val="center"/>
              <w:rPr>
                <w:b/>
                <w:noProof/>
              </w:rPr>
            </w:pPr>
            <w:r>
              <w:rPr>
                <w:b/>
                <w:noProof/>
              </w:rPr>
              <w:t>Iznos</w:t>
            </w:r>
          </w:p>
        </w:tc>
      </w:tr>
      <w:tr w:rsidR="00476EE5" w:rsidRPr="00A15481" w:rsidTr="00472459">
        <w:tc>
          <w:tcPr>
            <w:tcW w:w="3095" w:type="dxa"/>
            <w:shd w:val="clear" w:color="auto" w:fill="auto"/>
          </w:tcPr>
          <w:p w:rsidR="00476EE5" w:rsidRPr="00A15481" w:rsidRDefault="00476EE5" w:rsidP="00472459">
            <w:pPr>
              <w:rPr>
                <w:noProof/>
              </w:rPr>
            </w:pPr>
            <w:r>
              <w:t>1.2.5.</w:t>
            </w:r>
            <w:r>
              <w:tab/>
              <w:t>Bespovratna sredstva za stručni tim za projekt zajedničkog sučelja za subjekte u okviru sustava kontrole uvoza (ICS2)</w:t>
            </w:r>
          </w:p>
        </w:tc>
        <w:tc>
          <w:tcPr>
            <w:tcW w:w="3095" w:type="dxa"/>
            <w:shd w:val="clear" w:color="auto" w:fill="auto"/>
          </w:tcPr>
          <w:p w:rsidR="00476EE5" w:rsidRPr="00A15481" w:rsidRDefault="00476EE5" w:rsidP="00472459">
            <w:pPr>
              <w:rPr>
                <w:noProof/>
              </w:rPr>
            </w:pPr>
            <w:r>
              <w:t>Drugo tromjesečje 2018.</w:t>
            </w:r>
          </w:p>
        </w:tc>
        <w:tc>
          <w:tcPr>
            <w:tcW w:w="3095" w:type="dxa"/>
            <w:shd w:val="clear" w:color="auto" w:fill="auto"/>
          </w:tcPr>
          <w:p w:rsidR="00476EE5" w:rsidRPr="00A15481" w:rsidRDefault="00476EE5" w:rsidP="00472459">
            <w:pPr>
              <w:rPr>
                <w:noProof/>
              </w:rPr>
            </w:pPr>
            <w:r>
              <w:t>710 000 EUR</w:t>
            </w:r>
          </w:p>
        </w:tc>
      </w:tr>
    </w:tbl>
    <w:p w:rsidR="00476EE5" w:rsidRPr="00A15481" w:rsidRDefault="00476EE5" w:rsidP="00476EE5">
      <w:pPr>
        <w:rPr>
          <w:noProof/>
        </w:rPr>
      </w:pPr>
      <w:r>
        <w:t xml:space="preserve">Najviša moguća stopa sufinanciranja prihvatljivih troškova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A15481" w:rsidTr="00472459">
        <w:trPr>
          <w:tblCellSpacing w:w="0" w:type="dxa"/>
        </w:trPr>
        <w:tc>
          <w:tcPr>
            <w:tcW w:w="9286" w:type="dxa"/>
            <w:tcBorders>
              <w:top w:val="single" w:sz="2" w:space="0" w:color="000000"/>
              <w:bottom w:val="single" w:sz="2" w:space="0" w:color="000000"/>
            </w:tcBorders>
          </w:tcPr>
          <w:p w:rsidR="00476EE5" w:rsidRPr="00CF1D14" w:rsidRDefault="00476EE5" w:rsidP="00472459">
            <w:pPr>
              <w:rPr>
                <w:b/>
                <w:noProof/>
              </w:rPr>
            </w:pPr>
            <w:r>
              <w:rPr>
                <w:b/>
                <w:noProof/>
              </w:rPr>
              <w:t>Opis bespovratnih sredstava</w:t>
            </w:r>
          </w:p>
          <w:p w:rsidR="00476EE5" w:rsidRPr="00A15481" w:rsidRDefault="00476EE5" w:rsidP="00472459">
            <w:pPr>
              <w:rPr>
                <w:noProof/>
              </w:rPr>
            </w:pPr>
            <w:r>
              <w:t>Bespovratna sredstva bit će kombinacija:</w:t>
            </w:r>
          </w:p>
          <w:p w:rsidR="00476EE5" w:rsidRPr="00A15481" w:rsidRDefault="00476EE5" w:rsidP="00782113">
            <w:pPr>
              <w:pStyle w:val="Tiret0"/>
              <w:numPr>
                <w:ilvl w:val="0"/>
                <w:numId w:val="35"/>
              </w:numPr>
              <w:rPr>
                <w:noProof/>
              </w:rPr>
            </w:pPr>
            <w:r>
              <w:t>nadoknade sljedećih prihvatljivih i stvarno nastalih troškova korisnika za sljedeće stavke:</w:t>
            </w:r>
          </w:p>
          <w:p w:rsidR="00476EE5" w:rsidRPr="00A15481" w:rsidRDefault="00476EE5" w:rsidP="00782113">
            <w:pPr>
              <w:pStyle w:val="Point1letter"/>
              <w:numPr>
                <w:ilvl w:val="3"/>
                <w:numId w:val="40"/>
              </w:numPr>
              <w:rPr>
                <w:noProof/>
              </w:rPr>
            </w:pPr>
            <w:r>
              <w:t>troškovi za putovanja, do 100 %;</w:t>
            </w:r>
          </w:p>
          <w:p w:rsidR="00476EE5" w:rsidRPr="00A15481" w:rsidRDefault="00476EE5" w:rsidP="00782113">
            <w:pPr>
              <w:pStyle w:val="Point1letter"/>
              <w:numPr>
                <w:ilvl w:val="3"/>
                <w:numId w:val="36"/>
              </w:numPr>
              <w:rPr>
                <w:noProof/>
              </w:rPr>
            </w:pPr>
            <w:r>
              <w:t>troškovi ugošćivanja stručnjaka u okviru projekta, do 100 %;</w:t>
            </w:r>
          </w:p>
          <w:p w:rsidR="00476EE5" w:rsidRPr="00A15481" w:rsidRDefault="00476EE5" w:rsidP="00782113">
            <w:pPr>
              <w:pStyle w:val="Point1letter"/>
              <w:numPr>
                <w:ilvl w:val="3"/>
                <w:numId w:val="36"/>
              </w:numPr>
              <w:rPr>
                <w:noProof/>
              </w:rPr>
            </w:pPr>
            <w:r>
              <w:t>izravni troškovi za osoblje, do 50 %;</w:t>
            </w:r>
          </w:p>
          <w:p w:rsidR="00476EE5" w:rsidRPr="00A15481" w:rsidRDefault="00476EE5" w:rsidP="00782113">
            <w:pPr>
              <w:pStyle w:val="Point1letter"/>
              <w:numPr>
                <w:ilvl w:val="3"/>
                <w:numId w:val="36"/>
              </w:numPr>
              <w:rPr>
                <w:noProof/>
              </w:rPr>
            </w:pPr>
            <w:r>
              <w:t>troškovi amortizacije opreme potrebne za projekt (samo troškovi amortizacije razmjerno vremenu postojanja stručnog tima), do 75 %;</w:t>
            </w:r>
          </w:p>
          <w:p w:rsidR="00476EE5" w:rsidRPr="00A15481" w:rsidRDefault="00476EE5" w:rsidP="00782113">
            <w:pPr>
              <w:pStyle w:val="Point1letter"/>
              <w:numPr>
                <w:ilvl w:val="3"/>
                <w:numId w:val="36"/>
              </w:numPr>
              <w:rPr>
                <w:noProof/>
              </w:rPr>
            </w:pPr>
            <w:r>
              <w:t>troškovi podugovaranja (vanjske usluge za zapošljavanje stručnjaka koje su ograničene opsegom i na dijelove projekta koji nisu ključni), do 75 %;</w:t>
            </w:r>
          </w:p>
          <w:p w:rsidR="00476EE5" w:rsidRPr="00A15481" w:rsidRDefault="00476EE5" w:rsidP="00782113">
            <w:pPr>
              <w:pStyle w:val="Point1letter"/>
              <w:numPr>
                <w:ilvl w:val="3"/>
                <w:numId w:val="36"/>
              </w:numPr>
              <w:rPr>
                <w:noProof/>
              </w:rPr>
            </w:pPr>
            <w:r>
              <w:t>ostali izravni troškovi (npr. organizacijski troškovi za događaje, tiskanje promotivnog materijala, kupnja potrošnog materijala i zaliha potrebnih za projekt), do 100 %.</w:t>
            </w:r>
          </w:p>
          <w:p w:rsidR="00476EE5" w:rsidRPr="00A15481" w:rsidRDefault="00476EE5" w:rsidP="00782113">
            <w:pPr>
              <w:pStyle w:val="Tiret0"/>
              <w:numPr>
                <w:ilvl w:val="0"/>
                <w:numId w:val="35"/>
              </w:numPr>
              <w:rPr>
                <w:noProof/>
              </w:rPr>
            </w:pPr>
            <w:r>
              <w:t>nadoknade na temelju jediničnih troškova za dnevnice i troškove smještaja za nacionalne izaslanike. Iznosi koji će se iskoristiti utvrđeni su u Odluci Komisije o općim provedbenim odredbama o donošenju Pravilnika o službenim putovanjima dužnosnika i ostalih službenika Europske komisije</w:t>
            </w:r>
            <w:r>
              <w:rPr>
                <w:rStyle w:val="FootnoteReference"/>
                <w:noProof/>
              </w:rPr>
              <w:footnoteReference w:id="12"/>
            </w:r>
            <w:r>
              <w:t xml:space="preserve"> koja je na snazi u trenutku potpisivanja sporazuma o dodjeli bespovratnih sredstava. Oba popisa stopa prilažu se sporazumu o dodjeli bespovratnih sredstava.</w:t>
            </w:r>
          </w:p>
          <w:p w:rsidR="00476EE5" w:rsidRPr="00A15481" w:rsidRDefault="00476EE5" w:rsidP="00782113">
            <w:pPr>
              <w:pStyle w:val="Tiret0"/>
              <w:numPr>
                <w:ilvl w:val="0"/>
                <w:numId w:val="35"/>
              </w:numPr>
              <w:rPr>
                <w:noProof/>
              </w:rPr>
            </w:pPr>
            <w:r>
              <w:t>nadoknada na temelju paušalne stope za neizravne troškove (režijski troškovi), u iznosu od 7 % svih izravnih prihvatljivih troškova.</w:t>
            </w:r>
          </w:p>
        </w:tc>
      </w:tr>
    </w:tbl>
    <w:p w:rsidR="00F31AB7" w:rsidRPr="00842D00" w:rsidRDefault="00F31AB7" w:rsidP="00F31AB7">
      <w:pPr>
        <w:pStyle w:val="Heading3"/>
        <w:rPr>
          <w:noProof/>
          <w:szCs w:val="24"/>
        </w:rPr>
      </w:pPr>
      <w:r>
        <w:lastRenderedPageBreak/>
        <w:t>Bespovratna sredstva za tim stručnjaka zadužen za nove pristupe razvoju i radu carinskih IT sustava</w:t>
      </w:r>
    </w:p>
    <w:p w:rsidR="00F31AB7" w:rsidRPr="003073E0" w:rsidRDefault="00F31AB7" w:rsidP="00F31AB7">
      <w:pPr>
        <w:rPr>
          <w:noProof/>
        </w:rPr>
      </w:pPr>
      <w:r>
        <w:t>PRAVNA OSNOVA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F31AB7" w:rsidRPr="003073E0" w:rsidTr="002B3C13">
        <w:trPr>
          <w:tblCellSpacing w:w="0" w:type="dxa"/>
        </w:trPr>
        <w:tc>
          <w:tcPr>
            <w:tcW w:w="9286" w:type="dxa"/>
            <w:tcBorders>
              <w:top w:val="single" w:sz="2" w:space="0" w:color="000000"/>
              <w:bottom w:val="single" w:sz="2" w:space="0" w:color="000000"/>
            </w:tcBorders>
          </w:tcPr>
          <w:p w:rsidR="00F31AB7" w:rsidRPr="00F46BB3" w:rsidRDefault="00F31AB7" w:rsidP="002B3C13">
            <w:pPr>
              <w:rPr>
                <w:noProof/>
              </w:rPr>
            </w:pPr>
            <w:r>
              <w:t>Članak 5. stavak 2. i stavak 7. točka (a) podtočka v. Uredbe (EU) br. 1294/2013</w:t>
            </w:r>
          </w:p>
          <w:p w:rsidR="00F31AB7" w:rsidRPr="003073E0" w:rsidRDefault="00F31AB7" w:rsidP="002B3C13">
            <w:pPr>
              <w:rPr>
                <w:noProof/>
              </w:rPr>
            </w:pPr>
            <w:r>
              <w:rPr>
                <w:b/>
                <w:noProof/>
              </w:rPr>
              <w:t xml:space="preserve">Posebni cilj: </w:t>
            </w:r>
            <w:r>
              <w:t>potpora carinskim tijelima za zaštitu financijskih i gospodarskih interesa Unije i država članica, uključujući borbu protiv prijevare i zaštitu prava intelektualnog vlasništva, za povećanje sigurnosti i zaštite, zaštitu građana i okoliša, poboljšanje administrativnih kapaciteta carinskih tijela i jačanje konkurentnosti europskih poduzeća.</w:t>
            </w:r>
          </w:p>
        </w:tc>
      </w:tr>
    </w:tbl>
    <w:p w:rsidR="00F31AB7" w:rsidRPr="003073E0" w:rsidRDefault="00F31AB7" w:rsidP="00F31AB7">
      <w:pPr>
        <w:rPr>
          <w:noProof/>
        </w:rPr>
      </w:pPr>
      <w:r>
        <w:t>PRORAČUNSKA LINIJA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F31AB7" w:rsidRPr="003073E0" w:rsidTr="002B3C13">
        <w:trPr>
          <w:tblCellSpacing w:w="0" w:type="dxa"/>
        </w:trPr>
        <w:tc>
          <w:tcPr>
            <w:tcW w:w="9286" w:type="dxa"/>
            <w:tcBorders>
              <w:top w:val="single" w:sz="2" w:space="0" w:color="000000"/>
              <w:bottom w:val="single" w:sz="2" w:space="0" w:color="000000"/>
            </w:tcBorders>
          </w:tcPr>
          <w:p w:rsidR="00F31AB7" w:rsidRPr="003073E0" w:rsidRDefault="00F31AB7" w:rsidP="002B3C13">
            <w:pPr>
              <w:rPr>
                <w:noProof/>
              </w:rPr>
            </w:pPr>
            <w:r>
              <w:t>14 02 01</w:t>
            </w:r>
          </w:p>
        </w:tc>
      </w:tr>
    </w:tbl>
    <w:p w:rsidR="00F31AB7" w:rsidRPr="003073E0" w:rsidRDefault="00F31AB7" w:rsidP="00F31AB7">
      <w:pPr>
        <w:rPr>
          <w:noProof/>
        </w:rPr>
      </w:pPr>
      <w:r>
        <w:t xml:space="preserve">Prioriteti stručnog tima, ciljevi koji se žele postići i očekivani rezultati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F31AB7" w:rsidRPr="003073E0" w:rsidTr="002B3C13">
        <w:trPr>
          <w:trHeight w:val="1338"/>
        </w:trPr>
        <w:tc>
          <w:tcPr>
            <w:tcW w:w="9286" w:type="dxa"/>
          </w:tcPr>
          <w:p w:rsidR="00970409" w:rsidRDefault="00970409" w:rsidP="00970409">
            <w:pPr>
              <w:rPr>
                <w:noProof/>
              </w:rPr>
            </w:pPr>
            <w:r>
              <w:t xml:space="preserve">Stručni tim radit će na postizanju ciljeva koje su dogovorili ravnatelji carinskih uprava tijekom seminara na visokoj razini povezanog s razvojem budućih carinskih IT sustava i sa zaključcima Vijeća o daljnjim koracima u razvoju carinskih informacijskih sustava, koje je donio ECOFIN 7. studenoga 2017. Osnivanjem takvog stručnog tima ispunila bi se očekivanja država članica i Komisije u pogledu razmatranja novih pristupa i traženja rješenja koja su troškovno najučinkovitija. </w:t>
            </w:r>
          </w:p>
          <w:p w:rsidR="00F31AB7" w:rsidRPr="003073E0" w:rsidRDefault="00970409" w:rsidP="00970409">
            <w:pPr>
              <w:rPr>
                <w:noProof/>
              </w:rPr>
            </w:pPr>
            <w:r>
              <w:t xml:space="preserve">U prvoj bi fazi tim utvrdio moguće nove pristupe razvoju budućih carinskih IT sustava, uključujući analizu prednosti i nedostataka novih pristupa. Bile bi utvrđene mogućnosti financiranja. </w:t>
            </w:r>
          </w:p>
        </w:tc>
      </w:tr>
    </w:tbl>
    <w:p w:rsidR="00F31AB7" w:rsidRPr="003073E0" w:rsidRDefault="00F31AB7" w:rsidP="00F31AB7">
      <w:pPr>
        <w:rPr>
          <w:noProof/>
        </w:rPr>
      </w:pPr>
      <w:r>
        <w:t>Opis aktivnosti koje će se financirati bespovratnim sredstvima koja se dodjeljuju bez poziva na podnošenje prijedloga na temelju članka 190. Delegirane uredbe (EU) br. 1268/2012</w:t>
      </w:r>
      <w:r>
        <w:rPr>
          <w:rStyle w:val="FootnoteReference"/>
        </w:rPr>
        <w:footnote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F31AB7" w:rsidRPr="003073E0" w:rsidTr="002B3C13">
        <w:trPr>
          <w:trHeight w:val="1338"/>
        </w:trPr>
        <w:tc>
          <w:tcPr>
            <w:tcW w:w="9286" w:type="dxa"/>
            <w:shd w:val="clear" w:color="auto" w:fill="auto"/>
          </w:tcPr>
          <w:p w:rsidR="00F31AB7" w:rsidRDefault="00F31AB7" w:rsidP="002B3C13">
            <w:pPr>
              <w:rPr>
                <w:rFonts w:eastAsia="Calibri"/>
                <w:b/>
                <w:noProof/>
              </w:rPr>
            </w:pPr>
            <w:r>
              <w:rPr>
                <w:b/>
                <w:noProof/>
              </w:rPr>
              <w:t xml:space="preserve">Bespovratnim sredstvima financirat će se aktivnosti za: </w:t>
            </w:r>
          </w:p>
          <w:p w:rsidR="00970409" w:rsidRDefault="00970409" w:rsidP="00970409">
            <w:pPr>
              <w:pStyle w:val="Tiret0"/>
              <w:numPr>
                <w:ilvl w:val="0"/>
                <w:numId w:val="35"/>
              </w:numPr>
              <w:rPr>
                <w:noProof/>
              </w:rPr>
            </w:pPr>
            <w:r>
              <w:t>razmatranje i proučavanje novih pristupa, uključujući mogućnosti centraliziranijeg ili suradničkog razvoja i održavanja budućih carinskih IT sustava;</w:t>
            </w:r>
          </w:p>
          <w:p w:rsidR="00970409" w:rsidRDefault="00970409" w:rsidP="00970409">
            <w:pPr>
              <w:pStyle w:val="Tiret0"/>
              <w:numPr>
                <w:ilvl w:val="0"/>
                <w:numId w:val="35"/>
              </w:numPr>
              <w:rPr>
                <w:noProof/>
              </w:rPr>
            </w:pPr>
            <w:r>
              <w:t>utvrđivanje mogućnosti financiranja za svaki utvrđeni pristup</w:t>
            </w:r>
          </w:p>
          <w:p w:rsidR="00970409" w:rsidRDefault="00970409" w:rsidP="00970409">
            <w:pPr>
              <w:pStyle w:val="Tiret0"/>
              <w:numPr>
                <w:ilvl w:val="0"/>
                <w:numId w:val="35"/>
              </w:numPr>
              <w:rPr>
                <w:noProof/>
              </w:rPr>
            </w:pPr>
            <w:r>
              <w:t>proučavanje iskustava zajedničke javne nabave, razvoja i rada u drugim područjima politika;</w:t>
            </w:r>
          </w:p>
          <w:p w:rsidR="00F31AB7" w:rsidRPr="00E37A25" w:rsidRDefault="00970409" w:rsidP="002B3C13">
            <w:pPr>
              <w:pStyle w:val="Tiret0"/>
              <w:numPr>
                <w:ilvl w:val="0"/>
                <w:numId w:val="35"/>
              </w:numPr>
              <w:rPr>
                <w:rFonts w:eastAsia="Calibri"/>
                <w:noProof/>
              </w:rPr>
            </w:pPr>
            <w:r>
              <w:t xml:space="preserve">pripremanje pilot projekta (utvrđivanje njegova opsega). </w:t>
            </w:r>
          </w:p>
        </w:tc>
      </w:tr>
    </w:tbl>
    <w:p w:rsidR="00F31AB7" w:rsidRPr="003073E0" w:rsidRDefault="00F31AB7" w:rsidP="00F31AB7">
      <w:pPr>
        <w:keepNext/>
        <w:keepLines/>
        <w:rPr>
          <w:noProof/>
        </w:rPr>
      </w:pPr>
      <w:r>
        <w:t>Osnovni kriteriji prihvatljivosti i odabira te kriteriji za dodjelu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F31AB7" w:rsidRPr="003073E0" w:rsidTr="002B3C13">
        <w:trPr>
          <w:trHeight w:val="1338"/>
        </w:trPr>
        <w:tc>
          <w:tcPr>
            <w:tcW w:w="9286" w:type="dxa"/>
          </w:tcPr>
          <w:p w:rsidR="00F31AB7" w:rsidRPr="006A6002" w:rsidRDefault="00F31AB7" w:rsidP="002B3C13">
            <w:pPr>
              <w:rPr>
                <w:rFonts w:eastAsia="Calibri"/>
                <w:b/>
                <w:noProof/>
              </w:rPr>
            </w:pPr>
            <w:r>
              <w:rPr>
                <w:b/>
                <w:noProof/>
              </w:rPr>
              <w:t>Bespovratna sredstva dodjeljuju se na temelju sljedećih kriterija:</w:t>
            </w:r>
          </w:p>
          <w:p w:rsidR="00F31AB7" w:rsidRPr="006A6002" w:rsidRDefault="00F31AB7" w:rsidP="002B3C13">
            <w:pPr>
              <w:rPr>
                <w:rFonts w:eastAsia="Calibri"/>
                <w:b/>
                <w:i/>
                <w:noProof/>
              </w:rPr>
            </w:pPr>
            <w:r>
              <w:rPr>
                <w:b/>
                <w:i/>
                <w:noProof/>
              </w:rPr>
              <w:t>Kriteriji prihvatljivosti</w:t>
            </w:r>
          </w:p>
          <w:p w:rsidR="00F31AB7" w:rsidRPr="00F46BB3" w:rsidRDefault="00F31AB7" w:rsidP="002B3C13">
            <w:pPr>
              <w:rPr>
                <w:rFonts w:eastAsia="Calibri"/>
                <w:noProof/>
              </w:rPr>
            </w:pPr>
            <w:r>
              <w:t>Prema članku 3. Uredbe (EU) br. 1294/2013 korisnici bespovratnih sredstava bit će carinske uprave država članica i drugih prihvatljivih zemalja koje ispunjavaju uvjete za sudjelovanje navedene u članku 3. stavku 2. Uredbe (EU) br. 1294/2013.</w:t>
            </w:r>
          </w:p>
          <w:p w:rsidR="00F31AB7" w:rsidRPr="00F46BB3" w:rsidRDefault="00F31AB7" w:rsidP="002B3C13">
            <w:pPr>
              <w:rPr>
                <w:rFonts w:eastAsia="Calibri"/>
                <w:noProof/>
              </w:rPr>
            </w:pPr>
            <w:r>
              <w:lastRenderedPageBreak/>
              <w:t>Predložene aktivnosti moraju biti dio prihvatljivih mjera iz članka 7. točke (a) podtočke v. Uredbe (EU) br. 1294/2013.</w:t>
            </w:r>
          </w:p>
          <w:p w:rsidR="00F31AB7" w:rsidRPr="006A6002" w:rsidRDefault="00F31AB7" w:rsidP="002B3C13">
            <w:pPr>
              <w:rPr>
                <w:rFonts w:eastAsia="Calibri"/>
                <w:b/>
                <w:i/>
                <w:noProof/>
              </w:rPr>
            </w:pPr>
            <w:r>
              <w:rPr>
                <w:b/>
                <w:i/>
                <w:noProof/>
              </w:rPr>
              <w:t>Kriteriji za odabir</w:t>
            </w:r>
          </w:p>
          <w:p w:rsidR="00F31AB7" w:rsidRPr="00F46BB3" w:rsidRDefault="00F31AB7" w:rsidP="002B3C13">
            <w:pPr>
              <w:rPr>
                <w:rFonts w:eastAsia="Calibri"/>
                <w:noProof/>
              </w:rPr>
            </w:pPr>
            <w:r>
              <w:t>U skladu s člankom 131. stavkom 3. Uredbe (EU, Euratom) br. 966/2012, financijski i operativni kapaciteti korisnika neće se provjeravati jer su korisnici javne uprave.</w:t>
            </w:r>
          </w:p>
          <w:p w:rsidR="00F31AB7" w:rsidRPr="006A6002" w:rsidRDefault="00F31AB7" w:rsidP="002B3C13">
            <w:pPr>
              <w:rPr>
                <w:rFonts w:eastAsia="Calibri"/>
                <w:b/>
                <w:i/>
                <w:noProof/>
              </w:rPr>
            </w:pPr>
            <w:r>
              <w:rPr>
                <w:b/>
                <w:i/>
                <w:noProof/>
              </w:rPr>
              <w:t>Kriteriji za dodjelu</w:t>
            </w:r>
          </w:p>
          <w:p w:rsidR="00F31AB7" w:rsidRPr="003073E0" w:rsidRDefault="00F31AB7" w:rsidP="002B3C13">
            <w:pPr>
              <w:rPr>
                <w:noProof/>
              </w:rPr>
            </w:pPr>
            <w:r>
              <w:t>Bespovratna sredstva dodijelit će se na temelju njihove važnosti, usklađenosti i dodane vrijednosti za Uniju, metodoloških i organizacijskih kvaliteta, upravljanja i namjenskih sredstava te očekivanih rezultata i ostvarene vrijednosti za uložena novčana sredstva.</w:t>
            </w:r>
          </w:p>
        </w:tc>
      </w:tr>
    </w:tbl>
    <w:p w:rsidR="00F31AB7" w:rsidRPr="003073E0" w:rsidRDefault="00F31AB7" w:rsidP="00F31AB7">
      <w:pPr>
        <w:rPr>
          <w:noProof/>
        </w:rPr>
      </w:pPr>
      <w:r>
        <w:lastRenderedPageBreak/>
        <w:t>Provodi</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F31AB7" w:rsidRPr="003073E0" w:rsidTr="002B3C13">
        <w:trPr>
          <w:tblCellSpacing w:w="0" w:type="dxa"/>
        </w:trPr>
        <w:tc>
          <w:tcPr>
            <w:tcW w:w="9286" w:type="dxa"/>
            <w:tcBorders>
              <w:top w:val="single" w:sz="2" w:space="0" w:color="000000"/>
              <w:bottom w:val="single" w:sz="2" w:space="0" w:color="000000"/>
            </w:tcBorders>
          </w:tcPr>
          <w:p w:rsidR="00F31AB7" w:rsidRPr="003073E0" w:rsidRDefault="00F31AB7" w:rsidP="002B3C13">
            <w:pPr>
              <w:rPr>
                <w:noProof/>
              </w:rPr>
            </w:pPr>
            <w:r>
              <w:t>GU TAXUD</w:t>
            </w:r>
          </w:p>
        </w:tc>
      </w:tr>
    </w:tbl>
    <w:p w:rsidR="00F31AB7" w:rsidRPr="003073E0" w:rsidRDefault="00F31AB7" w:rsidP="00F31AB7">
      <w:pPr>
        <w:rPr>
          <w:noProof/>
        </w:rPr>
      </w:pPr>
      <w:r>
        <w:t>Okvirni vremenski raspored i okvirni iznos bespovratnih sredstava koja se dodjeljuju bez poziva za podnošenje prijedloga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16"/>
        <w:gridCol w:w="3028"/>
      </w:tblGrid>
      <w:tr w:rsidR="00F31AB7" w:rsidRPr="003073E0" w:rsidTr="002B3C13">
        <w:tc>
          <w:tcPr>
            <w:tcW w:w="3095" w:type="dxa"/>
            <w:shd w:val="clear" w:color="auto" w:fill="auto"/>
          </w:tcPr>
          <w:p w:rsidR="00F31AB7" w:rsidRPr="006A6002" w:rsidRDefault="00F31AB7" w:rsidP="002B3C13">
            <w:pPr>
              <w:jc w:val="center"/>
              <w:rPr>
                <w:b/>
                <w:noProof/>
              </w:rPr>
            </w:pPr>
            <w:r>
              <w:rPr>
                <w:b/>
                <w:noProof/>
              </w:rPr>
              <w:t>Referenca</w:t>
            </w:r>
          </w:p>
        </w:tc>
        <w:tc>
          <w:tcPr>
            <w:tcW w:w="3095" w:type="dxa"/>
            <w:shd w:val="clear" w:color="auto" w:fill="auto"/>
          </w:tcPr>
          <w:p w:rsidR="00F31AB7" w:rsidRPr="006A6002" w:rsidRDefault="00F31AB7" w:rsidP="002B3C13">
            <w:pPr>
              <w:jc w:val="center"/>
              <w:rPr>
                <w:b/>
                <w:noProof/>
              </w:rPr>
            </w:pPr>
            <w:r>
              <w:rPr>
                <w:b/>
                <w:noProof/>
              </w:rPr>
              <w:t>Datum</w:t>
            </w:r>
          </w:p>
        </w:tc>
        <w:tc>
          <w:tcPr>
            <w:tcW w:w="3095" w:type="dxa"/>
            <w:shd w:val="clear" w:color="auto" w:fill="auto"/>
          </w:tcPr>
          <w:p w:rsidR="00F31AB7" w:rsidRPr="006A6002" w:rsidRDefault="00F31AB7" w:rsidP="002B3C13">
            <w:pPr>
              <w:jc w:val="center"/>
              <w:rPr>
                <w:b/>
                <w:noProof/>
              </w:rPr>
            </w:pPr>
            <w:r>
              <w:rPr>
                <w:b/>
                <w:noProof/>
              </w:rPr>
              <w:t>Iznos</w:t>
            </w:r>
          </w:p>
        </w:tc>
      </w:tr>
      <w:tr w:rsidR="00F31AB7" w:rsidRPr="003073E0" w:rsidTr="002B3C13">
        <w:tc>
          <w:tcPr>
            <w:tcW w:w="3095" w:type="dxa"/>
            <w:shd w:val="clear" w:color="auto" w:fill="auto"/>
          </w:tcPr>
          <w:p w:rsidR="00F31AB7" w:rsidRPr="003073E0" w:rsidRDefault="000731D8" w:rsidP="002B3C13">
            <w:pPr>
              <w:rPr>
                <w:noProof/>
              </w:rPr>
            </w:pPr>
            <w:r>
              <w:t>Bespovratna sredstva za tim stručnjaka zadužen za nove pristupe razvoju i radu carinskih IT sustava</w:t>
            </w:r>
          </w:p>
        </w:tc>
        <w:tc>
          <w:tcPr>
            <w:tcW w:w="3095" w:type="dxa"/>
            <w:shd w:val="clear" w:color="auto" w:fill="auto"/>
          </w:tcPr>
          <w:p w:rsidR="00F31AB7" w:rsidRPr="003073E0" w:rsidRDefault="00F31AB7" w:rsidP="002B3C13">
            <w:pPr>
              <w:rPr>
                <w:noProof/>
              </w:rPr>
            </w:pPr>
            <w:r>
              <w:t>Drugo tromjesečje 2018.</w:t>
            </w:r>
          </w:p>
        </w:tc>
        <w:tc>
          <w:tcPr>
            <w:tcW w:w="3095" w:type="dxa"/>
            <w:shd w:val="clear" w:color="auto" w:fill="auto"/>
          </w:tcPr>
          <w:p w:rsidR="00F31AB7" w:rsidRPr="003073E0" w:rsidRDefault="00F31AB7" w:rsidP="002B3C13">
            <w:pPr>
              <w:rPr>
                <w:noProof/>
              </w:rPr>
            </w:pPr>
            <w:r>
              <w:t>250 000 EUR.</w:t>
            </w:r>
          </w:p>
        </w:tc>
      </w:tr>
    </w:tbl>
    <w:p w:rsidR="00F31AB7" w:rsidRPr="003073E0" w:rsidRDefault="00F31AB7" w:rsidP="00F31AB7">
      <w:pPr>
        <w:rPr>
          <w:noProof/>
        </w:rPr>
      </w:pPr>
      <w:r>
        <w:t xml:space="preserve">Najviša moguća stopa sufinanciranja prihvatljivih troškova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F31AB7" w:rsidRPr="003073E0" w:rsidTr="002B3C13">
        <w:trPr>
          <w:tblCellSpacing w:w="0" w:type="dxa"/>
        </w:trPr>
        <w:tc>
          <w:tcPr>
            <w:tcW w:w="9286" w:type="dxa"/>
            <w:tcBorders>
              <w:top w:val="single" w:sz="2" w:space="0" w:color="000000"/>
              <w:bottom w:val="single" w:sz="2" w:space="0" w:color="000000"/>
            </w:tcBorders>
          </w:tcPr>
          <w:p w:rsidR="00F31AB7" w:rsidRPr="006A6002" w:rsidRDefault="00F31AB7" w:rsidP="002B3C13">
            <w:pPr>
              <w:rPr>
                <w:b/>
                <w:noProof/>
              </w:rPr>
            </w:pPr>
            <w:r>
              <w:rPr>
                <w:b/>
                <w:noProof/>
              </w:rPr>
              <w:t>Opis bespovratnih sredstava</w:t>
            </w:r>
          </w:p>
          <w:p w:rsidR="00F31AB7" w:rsidRPr="00566A10" w:rsidRDefault="00F31AB7" w:rsidP="002B3C13">
            <w:pPr>
              <w:rPr>
                <w:noProof/>
              </w:rPr>
            </w:pPr>
            <w:r>
              <w:t>Bespovratna sredstva bit će kombinacija:</w:t>
            </w:r>
          </w:p>
          <w:p w:rsidR="00F31AB7" w:rsidRPr="00566A10" w:rsidRDefault="00F31AB7" w:rsidP="002B3C13">
            <w:pPr>
              <w:pStyle w:val="Tiret0"/>
              <w:numPr>
                <w:ilvl w:val="0"/>
                <w:numId w:val="35"/>
              </w:numPr>
              <w:rPr>
                <w:noProof/>
              </w:rPr>
            </w:pPr>
            <w:r>
              <w:t>nadoknade sljedećih prihvatljivih i stvarno nastalih troškova korisnika za sljedeće stavke:</w:t>
            </w:r>
          </w:p>
          <w:p w:rsidR="00F31AB7" w:rsidRPr="00566A10" w:rsidRDefault="00F31AB7" w:rsidP="002B3C13">
            <w:pPr>
              <w:pStyle w:val="Point1letter"/>
              <w:numPr>
                <w:ilvl w:val="3"/>
                <w:numId w:val="36"/>
              </w:numPr>
              <w:rPr>
                <w:noProof/>
              </w:rPr>
            </w:pPr>
            <w:r>
              <w:t>troškovi za putovanja, do 100 %;</w:t>
            </w:r>
          </w:p>
          <w:p w:rsidR="00F31AB7" w:rsidRPr="00566A10" w:rsidRDefault="00F31AB7" w:rsidP="002B3C13">
            <w:pPr>
              <w:pStyle w:val="Point1letter"/>
              <w:numPr>
                <w:ilvl w:val="3"/>
                <w:numId w:val="36"/>
              </w:numPr>
              <w:rPr>
                <w:noProof/>
              </w:rPr>
            </w:pPr>
            <w:r>
              <w:t>troškovi ugošćivanja stručnjaka u okviru projekta, do 100 %;</w:t>
            </w:r>
          </w:p>
          <w:p w:rsidR="00F31AB7" w:rsidRPr="00566A10" w:rsidRDefault="00F31AB7" w:rsidP="002B3C13">
            <w:pPr>
              <w:pStyle w:val="Point1letter"/>
              <w:numPr>
                <w:ilvl w:val="3"/>
                <w:numId w:val="36"/>
              </w:numPr>
              <w:rPr>
                <w:noProof/>
              </w:rPr>
            </w:pPr>
            <w:r>
              <w:t>izravni troškovi za osoblje, do 50 %;</w:t>
            </w:r>
          </w:p>
          <w:p w:rsidR="00F31AB7" w:rsidRPr="00566A10" w:rsidRDefault="00F31AB7" w:rsidP="002B3C13">
            <w:pPr>
              <w:pStyle w:val="Point1letter"/>
              <w:numPr>
                <w:ilvl w:val="3"/>
                <w:numId w:val="36"/>
              </w:numPr>
              <w:rPr>
                <w:noProof/>
              </w:rPr>
            </w:pPr>
            <w:r>
              <w:t>troškovi amortizacije opreme potrebne za projekt (samo troškovi amortizacije razmjerno vremenu postojanja stručnog tima), do 75 %;</w:t>
            </w:r>
          </w:p>
          <w:p w:rsidR="00F31AB7" w:rsidRPr="00566A10" w:rsidRDefault="00F31AB7" w:rsidP="002B3C13">
            <w:pPr>
              <w:pStyle w:val="Point1letter"/>
              <w:numPr>
                <w:ilvl w:val="3"/>
                <w:numId w:val="36"/>
              </w:numPr>
              <w:rPr>
                <w:noProof/>
              </w:rPr>
            </w:pPr>
            <w:r>
              <w:t>troškovi podugovaranja (vanjske usluge za zapošljavanje stručnjaka koje su ograničene opsegom i na dijelove projekta koji nisu ključni), do 75 %;</w:t>
            </w:r>
          </w:p>
          <w:p w:rsidR="00F31AB7" w:rsidRPr="00566A10" w:rsidRDefault="00F31AB7" w:rsidP="002B3C13">
            <w:pPr>
              <w:pStyle w:val="Point1letter"/>
              <w:numPr>
                <w:ilvl w:val="3"/>
                <w:numId w:val="36"/>
              </w:numPr>
              <w:rPr>
                <w:noProof/>
              </w:rPr>
            </w:pPr>
            <w:r>
              <w:t>ostali izravni troškovi (npr. organizacijski troškovi za događaje, tiskanje promotivnog materijala, kupnja potrošnog materijala i zaliha potrebnih za projekt), do 100 %.</w:t>
            </w:r>
          </w:p>
          <w:p w:rsidR="00F31AB7" w:rsidRPr="00566A10" w:rsidRDefault="00F31AB7" w:rsidP="002B3C13">
            <w:pPr>
              <w:pStyle w:val="Tiret0"/>
              <w:numPr>
                <w:ilvl w:val="0"/>
                <w:numId w:val="35"/>
              </w:numPr>
              <w:rPr>
                <w:noProof/>
              </w:rPr>
            </w:pPr>
            <w:r>
              <w:t>nadoknade na temelju jediničnih troškova za dnevnice i troškove smještaja za nacionalne izaslanike. Iznosi koji će se iskoristiti utvrđeni su u Odluci Komisije o općim provedbenim odredbama o donošenju Pravilnika o službenim putovanjima dužnosnika i ostalih službenika Europske komisije</w:t>
            </w:r>
            <w:r>
              <w:rPr>
                <w:rStyle w:val="FootnoteReference"/>
              </w:rPr>
              <w:footnoteReference w:id="14"/>
            </w:r>
            <w:r>
              <w:t xml:space="preserve"> koja je na snazi u trenutku </w:t>
            </w:r>
            <w:r>
              <w:lastRenderedPageBreak/>
              <w:t>potpisivanja sporazuma o dodjeli bespovratnih sredstava. Popis jediničnih troškova prilaže se sporazumu o dodjeli bespovratnih sredstava.</w:t>
            </w:r>
          </w:p>
          <w:p w:rsidR="00F31AB7" w:rsidRPr="003073E0" w:rsidRDefault="00F31AB7" w:rsidP="002B3C13">
            <w:pPr>
              <w:pStyle w:val="Tiret0"/>
              <w:numPr>
                <w:ilvl w:val="0"/>
                <w:numId w:val="35"/>
              </w:numPr>
              <w:rPr>
                <w:noProof/>
              </w:rPr>
            </w:pPr>
            <w:r>
              <w:t>nadoknada na temelju paušalne stope za neizravne troškove (režijski troškovi), u iznosu od 7 % svih izravnih prihvatljivih troškova.</w:t>
            </w:r>
          </w:p>
        </w:tc>
      </w:tr>
    </w:tbl>
    <w:p w:rsidR="00476EE5" w:rsidRPr="003073E0" w:rsidRDefault="00476EE5" w:rsidP="00476EE5">
      <w:pPr>
        <w:pStyle w:val="Heading2"/>
        <w:rPr>
          <w:iCs/>
          <w:noProof/>
        </w:rPr>
      </w:pPr>
      <w:r>
        <w:lastRenderedPageBreak/>
        <w:t>Nabava</w:t>
      </w:r>
    </w:p>
    <w:p w:rsidR="00476EE5" w:rsidRPr="00566A10" w:rsidRDefault="00476EE5" w:rsidP="00476EE5">
      <w:pPr>
        <w:keepNext/>
        <w:keepLines/>
        <w:rPr>
          <w:noProof/>
        </w:rPr>
      </w:pPr>
      <w:r>
        <w:t xml:space="preserve">Ukupna proračunska sredstva rezervirana za ugovore o javnoj nabavi u 2018. godini iznose </w:t>
      </w:r>
      <w:r>
        <w:br/>
        <w:t>71 671 000 EUR. U tu se svrhu procjenjuje potpisivanje otprilike 55 posebnih ugovora na temelju postojećih ili novih višegodišnjih okvirnih ugovora.</w:t>
      </w:r>
    </w:p>
    <w:p w:rsidR="00476EE5" w:rsidRPr="00566A10" w:rsidRDefault="00476EE5" w:rsidP="00476EE5">
      <w:pPr>
        <w:pStyle w:val="Heading3"/>
        <w:rPr>
          <w:noProof/>
        </w:rPr>
      </w:pPr>
      <w:r>
        <w:t>Javna nabava za aktivnosti izgradnje kapaciteta IT-a</w:t>
      </w:r>
    </w:p>
    <w:p w:rsidR="00476EE5" w:rsidRPr="00566A10" w:rsidRDefault="00476EE5" w:rsidP="00476EE5">
      <w:pPr>
        <w:keepNext/>
        <w:keepLines/>
        <w:rPr>
          <w:noProof/>
        </w:rPr>
      </w:pPr>
      <w:r>
        <w:t>PRAVNA OSNOVA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t>Članak 5. stavak 2. i stavak 7. točka (a) Uredbe (EU) br. 1294/2013</w:t>
            </w:r>
          </w:p>
          <w:p w:rsidR="00476EE5" w:rsidRPr="003073E0" w:rsidRDefault="00476EE5" w:rsidP="00472459">
            <w:pPr>
              <w:rPr>
                <w:noProof/>
              </w:rPr>
            </w:pPr>
            <w:r>
              <w:rPr>
                <w:b/>
                <w:noProof/>
              </w:rPr>
              <w:t xml:space="preserve">Posebni cilj: </w:t>
            </w:r>
            <w:r>
              <w:t>potpora carinskim tijelima za zaštitu financijskih i gospodarskih interesa Unije i država članica, uključujući borbu protiv prijevare i zaštitu prava intelektualnog vlasništva, za povećanje sigurnosti i zaštite, zaštitu građana i okoliša, poboljšanje administrativnih kapaciteta carinskih tijela i jačanje konkurentnosti europskih poduzeća.</w:t>
            </w:r>
          </w:p>
        </w:tc>
      </w:tr>
    </w:tbl>
    <w:p w:rsidR="00476EE5" w:rsidRPr="00566A10" w:rsidRDefault="00476EE5" w:rsidP="00476EE5">
      <w:pPr>
        <w:rPr>
          <w:noProof/>
        </w:rPr>
      </w:pPr>
      <w:r>
        <w:t>PRORAČUNSKA LINIJA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t>14 02 01</w:t>
            </w:r>
          </w:p>
        </w:tc>
      </w:tr>
    </w:tbl>
    <w:p w:rsidR="00476EE5" w:rsidRPr="007E587F" w:rsidRDefault="00476EE5" w:rsidP="00476EE5">
      <w:pPr>
        <w:rPr>
          <w:i/>
          <w:noProof/>
        </w:rPr>
      </w:pPr>
      <w:r>
        <w:t>Predmet predviđenih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7E587F" w:rsidTr="00472459">
        <w:trPr>
          <w:trHeight w:val="983"/>
        </w:trPr>
        <w:tc>
          <w:tcPr>
            <w:tcW w:w="9286" w:type="dxa"/>
          </w:tcPr>
          <w:p w:rsidR="00476EE5" w:rsidRPr="007E587F" w:rsidRDefault="00476EE5" w:rsidP="00472459">
            <w:pPr>
              <w:rPr>
                <w:noProof/>
              </w:rPr>
            </w:pPr>
            <w:r>
              <w:t xml:space="preserve">Komisija 2018. namjerava provesti aktivnosti izgradnje kapaciteta IT-a u okviru ugovora na temelju javne nabave. Te se aktivnosti uglavnom odnose na razvoj, održavanje, rad i kontrolu kvalitete postojećih i novih komponenti europskih informacijskih sustava koje osigurava Unija kako bi se zajamčila međupovezanost carinskih tijela. </w:t>
            </w:r>
          </w:p>
          <w:p w:rsidR="00476EE5" w:rsidRPr="007E587F" w:rsidRDefault="00476EE5" w:rsidP="00472459">
            <w:pPr>
              <w:rPr>
                <w:noProof/>
              </w:rPr>
            </w:pPr>
            <w:r>
              <w:t>Ukupni okvirni iznos javne nabave iznosi 68 271 000 EUR</w:t>
            </w:r>
            <w:r>
              <w:rPr>
                <w:rStyle w:val="FootnoteReference"/>
              </w:rPr>
              <w:footnoteReference w:id="15"/>
            </w:r>
            <w:r>
              <w:t xml:space="preserve"> i bit će podijeljen na sljedeći način:</w:t>
            </w:r>
          </w:p>
          <w:p w:rsidR="00476EE5" w:rsidRPr="007E587F" w:rsidRDefault="00476EE5" w:rsidP="00782113">
            <w:pPr>
              <w:pStyle w:val="Tiret0"/>
              <w:numPr>
                <w:ilvl w:val="0"/>
                <w:numId w:val="35"/>
              </w:numPr>
              <w:rPr>
                <w:noProof/>
              </w:rPr>
            </w:pPr>
            <w:r>
              <w:t>mreža (CCN/CSI</w:t>
            </w:r>
            <w:r>
              <w:rPr>
                <w:rStyle w:val="FootnoteReference"/>
              </w:rPr>
              <w:footnoteReference w:id="16"/>
            </w:r>
            <w:r>
              <w:t xml:space="preserve"> uključujući razvoj CCN2 i sustava UUM&amp;DS</w:t>
            </w:r>
            <w:r>
              <w:rPr>
                <w:rStyle w:val="FootnoteReference"/>
              </w:rPr>
              <w:footnoteReference w:id="17"/>
            </w:r>
            <w:r>
              <w:t>): 11 550 000 EUR;</w:t>
            </w:r>
          </w:p>
          <w:p w:rsidR="00476EE5" w:rsidRPr="007E587F" w:rsidRDefault="00476EE5" w:rsidP="00782113">
            <w:pPr>
              <w:pStyle w:val="Tiret0"/>
              <w:numPr>
                <w:ilvl w:val="0"/>
                <w:numId w:val="35"/>
              </w:numPr>
              <w:rPr>
                <w:noProof/>
              </w:rPr>
            </w:pPr>
            <w:r>
              <w:t>razvoj sustava carinjenja: 22 300 000 EUR;</w:t>
            </w:r>
          </w:p>
          <w:p w:rsidR="00476EE5" w:rsidRPr="007E587F" w:rsidRDefault="00476EE5" w:rsidP="00782113">
            <w:pPr>
              <w:pStyle w:val="Tiret0"/>
              <w:numPr>
                <w:ilvl w:val="0"/>
                <w:numId w:val="35"/>
              </w:numPr>
              <w:rPr>
                <w:noProof/>
              </w:rPr>
            </w:pPr>
            <w:r>
              <w:t>potpora sustavima carinjenja: 29 190 000 EUR;</w:t>
            </w:r>
          </w:p>
          <w:p w:rsidR="00476EE5" w:rsidRPr="007E587F" w:rsidRDefault="00476EE5" w:rsidP="00782113">
            <w:pPr>
              <w:pStyle w:val="Tiret0"/>
              <w:numPr>
                <w:ilvl w:val="0"/>
                <w:numId w:val="35"/>
              </w:numPr>
              <w:rPr>
                <w:noProof/>
              </w:rPr>
            </w:pPr>
            <w:r>
              <w:t>kontrola kvalitete sustava carinjenja: 5 231 000 EUR.</w:t>
            </w:r>
          </w:p>
        </w:tc>
      </w:tr>
    </w:tbl>
    <w:p w:rsidR="00476EE5" w:rsidRPr="007E587F" w:rsidRDefault="00476EE5" w:rsidP="00472459">
      <w:pPr>
        <w:keepNext/>
        <w:keepLines/>
        <w:rPr>
          <w:noProof/>
        </w:rPr>
      </w:pPr>
      <w:r>
        <w:lastRenderedPageBreak/>
        <w:t>Vrsta ugovora i</w:t>
      </w:r>
      <w:r>
        <w:rPr>
          <w:i/>
          <w:noProof/>
        </w:rPr>
        <w:t xml:space="preserve"> </w:t>
      </w:r>
      <w:r>
        <w:t>vrsta javne nabave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rHeight w:val="968"/>
          <w:tblCellSpacing w:w="0" w:type="dxa"/>
        </w:trPr>
        <w:tc>
          <w:tcPr>
            <w:tcW w:w="9286" w:type="dxa"/>
            <w:tcBorders>
              <w:top w:val="single" w:sz="2" w:space="0" w:color="000000"/>
              <w:bottom w:val="single" w:sz="2" w:space="0" w:color="000000"/>
            </w:tcBorders>
          </w:tcPr>
          <w:p w:rsidR="00476EE5" w:rsidRPr="007E587F" w:rsidRDefault="00476EE5" w:rsidP="00472459">
            <w:pPr>
              <w:keepNext/>
              <w:keepLines/>
              <w:rPr>
                <w:noProof/>
              </w:rPr>
            </w:pPr>
            <w:r>
              <w:t>Nabava usluga provest će se u okviru posebnih ugovora na temelju postojećih ili novih okvirnih ugovora ili kroz upravne dogovore, sporazume o razini usluge ili memorandumima o razumijevanju s drugim glavnim upravama/službama.</w:t>
            </w:r>
          </w:p>
          <w:p w:rsidR="00476EE5" w:rsidRPr="007E587F" w:rsidRDefault="00476EE5" w:rsidP="00472459">
            <w:pPr>
              <w:keepNext/>
              <w:keepLines/>
              <w:rPr>
                <w:noProof/>
              </w:rPr>
            </w:pPr>
            <w:r>
              <w:t>Godine 2018. pokrenut će se sljedeći novi postupci sklapanja okvirnih ugovora za pružanje usluga:</w:t>
            </w:r>
          </w:p>
          <w:p w:rsidR="00476EE5" w:rsidRPr="00FD2529" w:rsidRDefault="00476EE5" w:rsidP="00782113">
            <w:pPr>
              <w:pStyle w:val="Point0number"/>
              <w:keepNext/>
              <w:keepLines/>
              <w:numPr>
                <w:ilvl w:val="0"/>
                <w:numId w:val="41"/>
              </w:numPr>
              <w:rPr>
                <w:rFonts w:eastAsia="Calibri"/>
              </w:rPr>
            </w:pPr>
            <w:r>
              <w:t xml:space="preserve">CCN3-DEV: pružanje usluga koje obuhvaćaju razvoj, održavanje i potporu treće razine za sustave CCN/CSI, CCN2, SPEED2, TSOAP i eksperimentalne platforme s tehnologijom </w:t>
            </w:r>
            <w:r>
              <w:rPr>
                <w:i/>
              </w:rPr>
              <w:t>blockchain</w:t>
            </w:r>
            <w:r>
              <w:t xml:space="preserve"> TAXUD-a:</w:t>
            </w:r>
          </w:p>
          <w:p w:rsidR="00476EE5" w:rsidRPr="00BE62EF" w:rsidRDefault="00476EE5" w:rsidP="00782113">
            <w:pPr>
              <w:pStyle w:val="Tiret1"/>
              <w:keepNext/>
              <w:keepLines/>
              <w:numPr>
                <w:ilvl w:val="0"/>
                <w:numId w:val="34"/>
              </w:numPr>
              <w:rPr>
                <w:rFonts w:ascii="Times New Roman" w:eastAsia="Calibri" w:hAnsi="Times New Roman" w:cs="Times New Roman"/>
              </w:rPr>
            </w:pPr>
            <w:r>
              <w:rPr>
                <w:rFonts w:ascii="Times New Roman" w:hAnsi="Times New Roman"/>
              </w:rPr>
              <w:t>CCN3-DEV Lot1: pružanje usluga za razvoj i održavanje CCN/CSI-a (zajedničke komunikacijske mreže / zajedničkog sustava sučelja). Proračun za ovaj ugovor bit će podijeljen između Carina 2020. i Fiscalis 2020 (procijenjeni omjer 60 % Carina 2020. i 40 % Fiscalis 2020). Procijenjeni datum objave postupka nabave: prvo tromjesečje 2018. Okvirni iznos okvirnog ugovora iznosit će 25 milijuna eura u trajanju od najviše 8 godina.</w:t>
            </w:r>
          </w:p>
          <w:p w:rsidR="00476EE5" w:rsidRDefault="00476EE5" w:rsidP="00472459">
            <w:pPr>
              <w:pStyle w:val="Tiret1"/>
              <w:keepNext/>
              <w:keepLines/>
              <w:rPr>
                <w:rFonts w:ascii="Times New Roman" w:eastAsia="Calibri" w:hAnsi="Times New Roman" w:cs="Times New Roman"/>
              </w:rPr>
            </w:pPr>
            <w:r>
              <w:rPr>
                <w:rFonts w:ascii="Times New Roman" w:hAnsi="Times New Roman"/>
              </w:rPr>
              <w:t xml:space="preserve">CCN3-DEV Lot2: pružanje usluga za razvoj, pretvorbu i konsolidaciju sustava CCN2, SPEED2, TSOAP i eksperimentalnih platformi s tehnologijom </w:t>
            </w:r>
            <w:r>
              <w:rPr>
                <w:rFonts w:ascii="Times New Roman" w:hAnsi="Times New Roman"/>
                <w:i/>
              </w:rPr>
              <w:t>blockchain</w:t>
            </w:r>
            <w:r>
              <w:rPr>
                <w:rFonts w:ascii="Times New Roman" w:hAnsi="Times New Roman"/>
              </w:rPr>
              <w:t xml:space="preserve"> TAXUD-a i drugih mogućih tehnologija. Proračun za ovaj ugovor bit će podijeljen između Carina 2020. i Fiscalis 2020 (procijenjeni omjer 60 % Carina 2020. i 40 % Fiscalis 2020). Procijenjeni datum objave postupka nabave: prvo tromjesečje 2018. Okvirni iznos okvirnog ugovora iznosit će 70 milijuna eura u trajanju od najviše 8 godina.</w:t>
            </w:r>
          </w:p>
          <w:p w:rsidR="00EA34BF" w:rsidRPr="00BE62EF" w:rsidRDefault="00EA34BF" w:rsidP="00927DCE">
            <w:pPr>
              <w:pStyle w:val="Point0number"/>
              <w:keepNext/>
              <w:keepLines/>
              <w:numPr>
                <w:ilvl w:val="0"/>
                <w:numId w:val="0"/>
              </w:numPr>
              <w:ind w:left="850"/>
              <w:rPr>
                <w:rFonts w:eastAsia="Calibri"/>
              </w:rPr>
            </w:pPr>
            <w:r>
              <w:t>Opravdanje za trajanje ugovora duže od 4 godine: Složena i duga razdoblja predaje/preuzimanja uz potrebu osiguranja dovoljnog i stabilnog razdoblja kontinuiteta za operacije i potporu.</w:t>
            </w:r>
          </w:p>
          <w:p w:rsidR="00476EE5" w:rsidRPr="00927DCE" w:rsidRDefault="00476EE5" w:rsidP="00472459">
            <w:pPr>
              <w:pStyle w:val="Point0number"/>
              <w:keepNext/>
              <w:keepLines/>
              <w:rPr>
                <w:rFonts w:eastAsia="Calibri" w:cs="Calibri"/>
                <w:noProof/>
              </w:rPr>
            </w:pPr>
            <w:r>
              <w:t>TIMEA3: pružanje usluga savjetovanja „Intra-muros” za IT sustave i aplikacije Europske unije u područjima carine, trošarina i oporezivanja. Proračun za ovaj ugovor bit će podijeljen između Carina 2020 i Fiscalis 2020 i njihovih predviđenih programa nasljednika (procijenjeni omjer 90 % Carina 2020. i 10 % Fiscalis 2020). Procijenjeni datum objave postupka nabave: drugo tromjesečje 2018. Okvirni iznos okvirnog ugovora iznosit će 60 milijuna eura u trajanju od najviše 5 godina.</w:t>
            </w:r>
          </w:p>
          <w:p w:rsidR="00EA34BF" w:rsidRPr="006A6002" w:rsidRDefault="00EA34BF" w:rsidP="00927DCE">
            <w:pPr>
              <w:pStyle w:val="Point0number"/>
              <w:keepNext/>
              <w:keepLines/>
              <w:numPr>
                <w:ilvl w:val="0"/>
                <w:numId w:val="0"/>
              </w:numPr>
              <w:ind w:left="850"/>
              <w:rPr>
                <w:rFonts w:eastAsia="Calibri" w:cs="Calibri"/>
                <w:noProof/>
              </w:rPr>
            </w:pPr>
            <w:r>
              <w:t>Opravdanje za trajanje ugovora duže od 4 godine: za složen ekosustav IT-a TAXUD-a potrebna je stabilnost u ugovornoj uspostavi kako bi se zajamčilo da se ulaganja u postizanje visoke razine učinkovitosti savjetnika Intra Murosa održe dovoljno vremensko razdoblje.</w:t>
            </w:r>
          </w:p>
        </w:tc>
      </w:tr>
    </w:tbl>
    <w:p w:rsidR="00476EE5" w:rsidRPr="007E587F" w:rsidRDefault="00476EE5" w:rsidP="00476EE5">
      <w:pPr>
        <w:rPr>
          <w:noProof/>
        </w:rPr>
      </w:pPr>
      <w:r>
        <w:t>Okvirni broj predviđenih ugovora: ukupno 3 posebna ugovora koja će se potpisati na temelju novih okvirnih ugovora.</w:t>
      </w:r>
    </w:p>
    <w:p w:rsidR="00476EE5" w:rsidRPr="007E587F" w:rsidRDefault="00476EE5" w:rsidP="00476EE5">
      <w:pPr>
        <w:rPr>
          <w:noProof/>
        </w:rPr>
      </w:pPr>
      <w:r>
        <w:t>Okvirni rok za pokretanje postupka javne nabave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t>prvo i drugo tromjesečje 2018.</w:t>
            </w:r>
          </w:p>
        </w:tc>
      </w:tr>
    </w:tbl>
    <w:p w:rsidR="00476EE5" w:rsidRPr="007E587F" w:rsidRDefault="00476EE5" w:rsidP="00476EE5">
      <w:pPr>
        <w:rPr>
          <w:noProof/>
        </w:rPr>
      </w:pPr>
      <w:r>
        <w:t>Provodi</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tcBorders>
          </w:tcPr>
          <w:p w:rsidR="00476EE5" w:rsidRPr="007E587F" w:rsidRDefault="00476EE5" w:rsidP="00472459">
            <w:pPr>
              <w:rPr>
                <w:noProof/>
              </w:rPr>
            </w:pPr>
            <w:r>
              <w:t>GU TAXUD</w:t>
            </w:r>
          </w:p>
        </w:tc>
      </w:tr>
    </w:tbl>
    <w:p w:rsidR="00476EE5" w:rsidRPr="007E587F" w:rsidRDefault="00476EE5" w:rsidP="00476EE5">
      <w:pPr>
        <w:pStyle w:val="Heading3"/>
        <w:rPr>
          <w:noProof/>
        </w:rPr>
      </w:pPr>
      <w:r>
        <w:lastRenderedPageBreak/>
        <w:t>Javna nabava za zajedničke mjere i mjere izgradnje kapaciteta</w:t>
      </w:r>
    </w:p>
    <w:p w:rsidR="00476EE5" w:rsidRPr="007E587F" w:rsidRDefault="00476EE5" w:rsidP="00476EE5">
      <w:pPr>
        <w:keepNext/>
        <w:keepLines/>
        <w:rPr>
          <w:noProof/>
        </w:rPr>
      </w:pPr>
      <w:r>
        <w:t>PRAVNA OSNOVA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keepNext/>
              <w:keepLines/>
              <w:rPr>
                <w:noProof/>
              </w:rPr>
            </w:pPr>
            <w:r>
              <w:t>Članak 5. stavak 2. i stavak 7. točka (a) podtočke vii. – viii. i stavak 7. točka (c) Uredbe (EU) br. 1294/2013</w:t>
            </w:r>
          </w:p>
          <w:p w:rsidR="00476EE5" w:rsidRPr="007E587F" w:rsidRDefault="00476EE5" w:rsidP="00472459">
            <w:pPr>
              <w:rPr>
                <w:noProof/>
              </w:rPr>
            </w:pPr>
            <w:r>
              <w:rPr>
                <w:b/>
                <w:noProof/>
              </w:rPr>
              <w:t xml:space="preserve">Posebni cilj: </w:t>
            </w:r>
            <w:r>
              <w:t>potpora carinskim tijelima za zaštitu financijskih i gospodarskih interesa Unije i država članica, uključujući borbu protiv prijevare i zaštitu prava intelektualnog vlasništva, za povećanje sigurnosti i zaštite, zaštitu građana i okoliša, poboljšanje administrativnih kapaciteta carinskih tijela i jačanje konkurentnosti europskih poduzeća.</w:t>
            </w:r>
          </w:p>
        </w:tc>
      </w:tr>
    </w:tbl>
    <w:p w:rsidR="00476EE5" w:rsidRPr="007E587F" w:rsidRDefault="00476EE5" w:rsidP="00476EE5">
      <w:pPr>
        <w:rPr>
          <w:noProof/>
        </w:rPr>
      </w:pPr>
      <w:r>
        <w:t>PRORAČUNSKA LINIJA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t>14 02 01</w:t>
            </w:r>
          </w:p>
        </w:tc>
      </w:tr>
    </w:tbl>
    <w:p w:rsidR="00476EE5" w:rsidRPr="007E587F" w:rsidRDefault="00476EE5" w:rsidP="00476EE5">
      <w:pPr>
        <w:rPr>
          <w:i/>
          <w:noProof/>
        </w:rPr>
      </w:pPr>
      <w:r>
        <w:t>Predmet predviđenih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7E587F" w:rsidTr="00472459">
        <w:trPr>
          <w:trHeight w:val="1338"/>
        </w:trPr>
        <w:tc>
          <w:tcPr>
            <w:tcW w:w="9286" w:type="dxa"/>
          </w:tcPr>
          <w:p w:rsidR="00476EE5" w:rsidRPr="007E587F" w:rsidRDefault="00476EE5" w:rsidP="00472459">
            <w:pPr>
              <w:rPr>
                <w:noProof/>
              </w:rPr>
            </w:pPr>
            <w:r>
              <w:t>Komisija 2018. namjerava provesti aktivnosti u okviru ugovora na temelju javne nabave, a osobito:</w:t>
            </w:r>
          </w:p>
          <w:p w:rsidR="00476EE5" w:rsidRPr="007E587F" w:rsidRDefault="00476EE5" w:rsidP="00782113">
            <w:pPr>
              <w:pStyle w:val="Tiret0"/>
              <w:numPr>
                <w:ilvl w:val="0"/>
                <w:numId w:val="35"/>
              </w:numPr>
              <w:rPr>
                <w:noProof/>
              </w:rPr>
            </w:pPr>
            <w:r>
              <w:t>specifikaciju, razvoj, održavanje, podupiranje i širenje zajedničkog osposobljavanja u području carina (e-osposobljavanje, kombinirano učenje), usluge internetske suradnje i usluge povećanja učinkovitosti osoblja,</w:t>
            </w:r>
          </w:p>
          <w:p w:rsidR="00476EE5" w:rsidRPr="007E587F" w:rsidRDefault="00476EE5" w:rsidP="00782113">
            <w:pPr>
              <w:pStyle w:val="Tiret0"/>
              <w:numPr>
                <w:ilvl w:val="0"/>
                <w:numId w:val="35"/>
              </w:numPr>
              <w:rPr>
                <w:rFonts w:cs="EUAlbertina"/>
                <w:noProof/>
              </w:rPr>
            </w:pPr>
            <w:r>
              <w:t>studije, znanstvenu i komunikacijsku potporu (npr. tipologija, prikupljanje podataka i usporedne analize u području carinskih pitanja, pružanje znanstvene i tehničke pomoći u području znanosti koja se odnosi na carinska pitanja),</w:t>
            </w:r>
          </w:p>
          <w:p w:rsidR="00476EE5" w:rsidRPr="007E587F" w:rsidRDefault="00476EE5" w:rsidP="00782113">
            <w:pPr>
              <w:pStyle w:val="Tiret0"/>
              <w:numPr>
                <w:ilvl w:val="0"/>
                <w:numId w:val="35"/>
              </w:numPr>
              <w:rPr>
                <w:rFonts w:cs="EUAlbertina"/>
                <w:noProof/>
              </w:rPr>
            </w:pPr>
            <w:r>
              <w:t>komunikacijsku i informacijsku podršku, uključujući prijevode,</w:t>
            </w:r>
          </w:p>
          <w:p w:rsidR="00476EE5" w:rsidRPr="007E587F" w:rsidRDefault="00476EE5" w:rsidP="00782113">
            <w:pPr>
              <w:pStyle w:val="Tiret0"/>
              <w:numPr>
                <w:ilvl w:val="0"/>
                <w:numId w:val="35"/>
              </w:numPr>
              <w:rPr>
                <w:rFonts w:cs="EUAlbertina"/>
                <w:noProof/>
              </w:rPr>
            </w:pPr>
            <w:r>
              <w:t>aktivnosti potpore programu.</w:t>
            </w:r>
          </w:p>
          <w:p w:rsidR="00476EE5" w:rsidRPr="007E587F" w:rsidRDefault="00476EE5" w:rsidP="00472459">
            <w:pPr>
              <w:rPr>
                <w:noProof/>
              </w:rPr>
            </w:pPr>
            <w:r>
              <w:t>Ukupni okvirni iznos javne nabave iznosi 3 400 000 EUR</w:t>
            </w:r>
            <w:r>
              <w:rPr>
                <w:rStyle w:val="FootnoteReference"/>
              </w:rPr>
              <w:footnoteReference w:id="18"/>
            </w:r>
            <w:r>
              <w:t xml:space="preserve"> i bit će podijeljen na sljedeći način:</w:t>
            </w:r>
          </w:p>
          <w:p w:rsidR="00476EE5" w:rsidRPr="007E587F" w:rsidRDefault="00476EE5" w:rsidP="00782113">
            <w:pPr>
              <w:pStyle w:val="Tiret0"/>
              <w:numPr>
                <w:ilvl w:val="0"/>
                <w:numId w:val="35"/>
              </w:numPr>
              <w:rPr>
                <w:noProof/>
              </w:rPr>
            </w:pPr>
            <w:r>
              <w:t>zajedničko osposobljavanje u području carine: 1 800 000 EUR,</w:t>
            </w:r>
          </w:p>
          <w:p w:rsidR="00476EE5" w:rsidRPr="007E587F" w:rsidRDefault="00476EE5" w:rsidP="00782113">
            <w:pPr>
              <w:pStyle w:val="Tiret0"/>
              <w:numPr>
                <w:ilvl w:val="0"/>
                <w:numId w:val="35"/>
              </w:numPr>
              <w:rPr>
                <w:noProof/>
              </w:rPr>
            </w:pPr>
            <w:r>
              <w:t>istraživanja, znanstvena i komunikacijska potpora: 1 600 000 EUR.</w:t>
            </w:r>
          </w:p>
        </w:tc>
      </w:tr>
    </w:tbl>
    <w:p w:rsidR="00476EE5" w:rsidRPr="007E587F" w:rsidRDefault="00476EE5" w:rsidP="00476EE5">
      <w:pPr>
        <w:rPr>
          <w:i/>
          <w:noProof/>
        </w:rPr>
      </w:pPr>
      <w:r>
        <w:t>Vrsta ugovora i</w:t>
      </w:r>
      <w:r>
        <w:rPr>
          <w:i/>
          <w:noProof/>
        </w:rPr>
        <w:t xml:space="preserve"> </w:t>
      </w:r>
      <w:r>
        <w:t>vrsta javne nabave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rFonts w:eastAsia="Calibri"/>
                <w:i/>
                <w:noProof/>
              </w:rPr>
            </w:pPr>
            <w:r>
              <w:t>Nabava usluga provest će se u okviru posebnih ugovora na temelju postojećih okvirnih ugovora, upravnih dogovora sa Zajedničkim istraživačkim centrom ili sporazumom o razini usluge s Glavnom upravom za prevođenje.</w:t>
            </w:r>
          </w:p>
        </w:tc>
      </w:tr>
    </w:tbl>
    <w:p w:rsidR="00476EE5" w:rsidRPr="007E587F" w:rsidRDefault="00476EE5" w:rsidP="00476EE5">
      <w:pPr>
        <w:rPr>
          <w:noProof/>
        </w:rPr>
      </w:pPr>
      <w:r>
        <w:t>Okvirni broj predviđenih ugovora: 10</w:t>
      </w:r>
    </w:p>
    <w:p w:rsidR="00476EE5" w:rsidRPr="007E587F" w:rsidRDefault="00476EE5" w:rsidP="00476EE5">
      <w:pPr>
        <w:keepNext/>
        <w:keepLines/>
        <w:rPr>
          <w:noProof/>
        </w:rPr>
      </w:pPr>
      <w:r>
        <w:t>Okvirni rok za pokretanje postupka javne nabave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t>Četvrto tromjesečje 2018.</w:t>
            </w:r>
          </w:p>
        </w:tc>
      </w:tr>
    </w:tbl>
    <w:p w:rsidR="00476EE5" w:rsidRPr="007E587F" w:rsidRDefault="00476EE5" w:rsidP="00476EE5">
      <w:pPr>
        <w:rPr>
          <w:noProof/>
        </w:rPr>
      </w:pPr>
      <w:r>
        <w:t>Provodi</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tcBorders>
          </w:tcPr>
          <w:p w:rsidR="00476EE5" w:rsidRPr="007E587F" w:rsidRDefault="00476EE5" w:rsidP="00472459">
            <w:pPr>
              <w:rPr>
                <w:noProof/>
              </w:rPr>
            </w:pPr>
            <w:r>
              <w:t>GU TAXUD</w:t>
            </w:r>
          </w:p>
        </w:tc>
      </w:tr>
    </w:tbl>
    <w:p w:rsidR="00476EE5" w:rsidRPr="007E587F" w:rsidRDefault="00476EE5" w:rsidP="00476EE5">
      <w:pPr>
        <w:pStyle w:val="Heading2"/>
        <w:rPr>
          <w:noProof/>
        </w:rPr>
      </w:pPr>
      <w:r>
        <w:lastRenderedPageBreak/>
        <w:t>Ostali izdaci</w:t>
      </w:r>
    </w:p>
    <w:p w:rsidR="00476EE5" w:rsidRPr="007E587F" w:rsidRDefault="00476EE5" w:rsidP="00476EE5">
      <w:pPr>
        <w:pStyle w:val="Heading3"/>
        <w:rPr>
          <w:noProof/>
        </w:rPr>
      </w:pPr>
      <w:r>
        <w:t>Nadoknada troškova vanjskim stručnjacima koji sudjeluju u programskim aktivnostima</w:t>
      </w:r>
    </w:p>
    <w:p w:rsidR="00476EE5" w:rsidRPr="007E587F" w:rsidRDefault="00476EE5" w:rsidP="00476EE5">
      <w:pPr>
        <w:rPr>
          <w:noProof/>
        </w:rPr>
      </w:pPr>
      <w:r>
        <w:t>PRAVNA OSNOVA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rFonts w:eastAsia="Calibri"/>
                <w:noProof/>
              </w:rPr>
            </w:pPr>
            <w:r>
              <w:t>Članak 5. stavci 2. i 7. Uredbe (EU) br. 1294/2013</w:t>
            </w:r>
          </w:p>
          <w:p w:rsidR="00476EE5" w:rsidRPr="007E587F" w:rsidRDefault="00476EE5" w:rsidP="00472459">
            <w:pPr>
              <w:rPr>
                <w:rFonts w:eastAsia="Calibri"/>
                <w:noProof/>
              </w:rPr>
            </w:pPr>
            <w:r>
              <w:rPr>
                <w:b/>
                <w:noProof/>
              </w:rPr>
              <w:t xml:space="preserve">Posebni cilj: </w:t>
            </w:r>
            <w:r>
              <w:t>potpora carinskim tijelima za zaštitu financijskih i gospodarskih interesa Unije i država članica, uključujući borbu protiv prijevare i zaštitu prava intelektualnog vlasništva, za povećanje sigurnosti i zaštite, zaštitu građana i okoliša, poboljšanje administrativnih kapaciteta carinskih tijela i jačanje konkurentnosti europskih poduzeća.</w:t>
            </w:r>
          </w:p>
          <w:p w:rsidR="00476EE5" w:rsidRPr="007E587F" w:rsidRDefault="00476EE5" w:rsidP="00472459">
            <w:pPr>
              <w:rPr>
                <w:rFonts w:eastAsia="Calibri"/>
                <w:noProof/>
              </w:rPr>
            </w:pPr>
            <w:r>
              <w:rPr>
                <w:b/>
                <w:noProof/>
              </w:rPr>
              <w:t>Članak 4.</w:t>
            </w:r>
            <w:r>
              <w:rPr>
                <w:noProof/>
              </w:rPr>
              <w:t xml:space="preserve"> Uredbe (EU) br. 1294/2013</w:t>
            </w:r>
          </w:p>
          <w:p w:rsidR="00476EE5" w:rsidRPr="007E587F" w:rsidRDefault="00476EE5" w:rsidP="00472459">
            <w:pPr>
              <w:rPr>
                <w:noProof/>
              </w:rPr>
            </w:pPr>
            <w:r>
              <w:t>Vanjski stručnjaci mogu biti pozvani da pridonesu odabranim aktivnostima organiziranima u okviru Programa kad god je to neophodno za ostvarenje ciljeva iz članaka 5. i 6. Uredbe. Vanjske stručnjake odabire Komisija zajedno sa zemljama sudionicama na temelju njihovih vještina, iskustva i znanja relevantnih za pojedine aktivnosti.</w:t>
            </w:r>
          </w:p>
        </w:tc>
      </w:tr>
    </w:tbl>
    <w:p w:rsidR="00476EE5" w:rsidRPr="007E587F" w:rsidRDefault="00476EE5" w:rsidP="00476EE5">
      <w:pPr>
        <w:rPr>
          <w:noProof/>
        </w:rPr>
      </w:pPr>
      <w:r>
        <w:t>PRORAČUNSKA LINIJA</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t>14 02 01</w:t>
            </w:r>
          </w:p>
        </w:tc>
      </w:tr>
    </w:tbl>
    <w:p w:rsidR="00476EE5" w:rsidRPr="007E587F" w:rsidRDefault="00476EE5" w:rsidP="00476EE5">
      <w:pPr>
        <w:rPr>
          <w:noProof/>
        </w:rPr>
      </w:pPr>
      <w:r>
        <w:t>Iznos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t>250 000 EUR</w:t>
            </w:r>
          </w:p>
        </w:tc>
      </w:tr>
    </w:tbl>
    <w:p w:rsidR="00476EE5" w:rsidRPr="007E587F" w:rsidRDefault="00476EE5" w:rsidP="00476EE5">
      <w:pPr>
        <w:rPr>
          <w:noProof/>
        </w:rPr>
      </w:pPr>
      <w:r>
        <w:t>Opis i cilj provedbene mjere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7E587F" w:rsidTr="00472459">
        <w:trPr>
          <w:trHeight w:val="916"/>
        </w:trPr>
        <w:tc>
          <w:tcPr>
            <w:tcW w:w="9286" w:type="dxa"/>
          </w:tcPr>
          <w:p w:rsidR="00476EE5" w:rsidRPr="007E587F" w:rsidRDefault="00476EE5" w:rsidP="00472459">
            <w:pPr>
              <w:rPr>
                <w:noProof/>
              </w:rPr>
            </w:pPr>
            <w:r>
              <w:t>Mjerom se omogućuje potpora sudjelovanju vanjskih stručnjaka u odabranim aktivnostima kad god je to neophodno za ostvarenje ciljeva iz članaka 5. i 6. Uredbe.</w:t>
            </w:r>
          </w:p>
        </w:tc>
      </w:tr>
    </w:tbl>
    <w:p w:rsidR="00476EE5" w:rsidRPr="003073E0" w:rsidRDefault="00476EE5" w:rsidP="00476EE5">
      <w:pPr>
        <w:rPr>
          <w:noProof/>
        </w:rPr>
        <w:sectPr w:rsidR="00476EE5" w:rsidRPr="003073E0" w:rsidSect="00BE62EF">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08"/>
          <w:docGrid w:linePitch="360"/>
        </w:sectPr>
      </w:pPr>
    </w:p>
    <w:p w:rsidR="00476EE5" w:rsidRPr="00DF0165" w:rsidRDefault="00476EE5" w:rsidP="00476EE5">
      <w:pPr>
        <w:rPr>
          <w:b/>
          <w:noProof/>
        </w:rPr>
      </w:pPr>
      <w:r>
        <w:rPr>
          <w:b/>
          <w:noProof/>
        </w:rPr>
        <w:lastRenderedPageBreak/>
        <w:t>DODATAK PRILOGU </w:t>
      </w:r>
      <w:r>
        <w:t>I.</w:t>
      </w:r>
      <w:r>
        <w:rPr>
          <w:b/>
          <w:noProof/>
        </w:rPr>
        <w:t>: PROJEKTI U OKVIRU PROGRAMA CARINA 2020. ZA 2018. GODINU</w:t>
      </w:r>
      <w:r>
        <w:rPr>
          <w:rStyle w:val="FootnoteReference"/>
          <w:b/>
        </w:rPr>
        <w:footnoteReference w:id="19"/>
      </w:r>
    </w:p>
    <w:p w:rsidR="00476EE5" w:rsidRPr="00DF0165" w:rsidRDefault="00476EE5" w:rsidP="00782113">
      <w:pPr>
        <w:pStyle w:val="NumPar1"/>
        <w:numPr>
          <w:ilvl w:val="0"/>
          <w:numId w:val="30"/>
        </w:numPr>
        <w:rPr>
          <w:b/>
        </w:rPr>
      </w:pPr>
      <w:r>
        <w:rPr>
          <w:b/>
        </w:rPr>
        <w:t>POTPORA FUNKCIONIRANJU I OSUVREMENJIVANJU CARINSKE UNIJE</w:t>
      </w:r>
    </w:p>
    <w:p w:rsidR="00476EE5" w:rsidRPr="00176542" w:rsidRDefault="00476EE5" w:rsidP="00476EE5">
      <w:r>
        <w:t xml:space="preserve">Carinska unija temelj je Europske unije i ključni element u funkcioniranju unutarnjeg tržišta. </w:t>
      </w:r>
    </w:p>
    <w:p w:rsidR="00476EE5" w:rsidRPr="00176542" w:rsidRDefault="00476EE5" w:rsidP="00476EE5">
      <w:r>
        <w:t>Ovaj naslov godišnjeg programa rada pokriva projekte politike za rješavanje strateških i glavnih ciljeva za funkcioniranje i osuvremenjivanje carinske unije.  U Komunikaciji Komisije o stanju carinske unije</w:t>
      </w:r>
      <w:r>
        <w:rPr>
          <w:rStyle w:val="FootnoteReference"/>
        </w:rPr>
        <w:footnoteReference w:id="20"/>
      </w:r>
      <w:r>
        <w:t xml:space="preserve"> (Komunikacija) navedeno je da se carinska unija suočava s ozbiljnim izazovima u pogledu načina na koji funkcionira. Iz tog se razloga Komisija zajedno s državama članicama mora baviti pitanjima koja utječu na ukupnu učinkovitost i djelotvornost carinske unije.  Osim toga, carinska unija treba osigurati suvremena rješenja i pristupe novim izazovima. </w:t>
      </w:r>
    </w:p>
    <w:p w:rsidR="00476EE5" w:rsidRPr="00176542" w:rsidRDefault="00476EE5" w:rsidP="00476EE5">
      <w:r>
        <w:t>Carinska unija mora uvijek voditi računa o tome da bude upoznata s izazovima koji proizlaze iz trgovinskog i carinskog okruženja koje se neprestano mijenja i na koje utječu brojni vanjski čimbenici te da na njih reagira. Carinska unija također mora nastojati održavati ravnomjernu razinu usluga i optimalnu zaštitu granica Unije. U Komunikaciji se navodi kako je potrebno nastaviti s osuvremenjivanjem carinske unije i uklanjanjem postojećih nedostataka uz postavljanje prioriteta. Konačno, Komunikacija naglašava važnost povećanja učinkovitosti i djelotvornosti reformom upravljanja carinskom unijom. Vijeće Europske unije pozvalo je Komisiju i države članice da poboljšanjem funkcioniranja i osuvremenjivanjem carinske unije pokušaju riješiti izazove s kojima se ona susreće</w:t>
      </w:r>
      <w:r>
        <w:rPr>
          <w:rStyle w:val="FootnoteReference"/>
        </w:rPr>
        <w:footnoteReference w:id="21"/>
      </w:r>
      <w:r>
        <w:t>. Stupanje na snagu CZU-a 1. svibnja 2016. bilo je veliki korak prema osuvremenjivanju. Koordinirana i pravovremena provedba novih pravila i IT sustava jedno je od ključnih pitanja u carinskoj politici za 2018. Niz sustava zahtijeva znatnu nadogradnju, a drugi novi sustavi moraju se potpuno razviti i primijeniti. Velika će pozornost biti usmjerena na prijelaz svih međusobno povezanih nacionalnih i europskih sustava, što zahtijeva pažljivo planiranje s državama članicama i gospodarskim subjektima.</w:t>
      </w:r>
    </w:p>
    <w:p w:rsidR="00476EE5" w:rsidRPr="00DF0165" w:rsidRDefault="00476EE5" w:rsidP="00476EE5">
      <w:pPr>
        <w:pStyle w:val="NumPar2"/>
        <w:rPr>
          <w:b/>
          <w:noProof/>
        </w:rPr>
      </w:pPr>
      <w:r>
        <w:rPr>
          <w:b/>
          <w:noProof/>
        </w:rPr>
        <w:t>Opće funkcioniranje carinske unije</w:t>
      </w:r>
    </w:p>
    <w:p w:rsidR="00476EE5" w:rsidRPr="00176542" w:rsidRDefault="00476EE5" w:rsidP="00476EE5">
      <w:r>
        <w:t xml:space="preserve">U skladu s Komunikacijom o upravljanju (COM (2016)813 final od 21.12.2016.) i drugim strateškim dokumentima o carinskoj uniji i njezinom razvoju potrebno je provesti inicijative kojima se pridonosi jačanju djelotvornog i učinkovitog funkcioniranja carinske unije. </w:t>
      </w:r>
    </w:p>
    <w:p w:rsidR="00476EE5" w:rsidRPr="00176542" w:rsidRDefault="00476EE5" w:rsidP="00476EE5">
      <w:r>
        <w:t xml:space="preserve">Za 2018. predviđeno je daljnje poboljšanje upravljanja carinskom unijom, uključujući daljnji razvoj mjere Uspješnost carinske unije (CUP) kao sredstva mjerenja uspješnosti carinske unije. </w:t>
      </w:r>
    </w:p>
    <w:p w:rsidR="00476EE5" w:rsidRPr="00176542" w:rsidRDefault="00476EE5" w:rsidP="00476EE5">
      <w:r>
        <w:t xml:space="preserve">Mandat projektne skupine u okviru CUP-a koja je osnovana 2014. za potporu mjerenju i praćenju rada carinske unije istječe u prosincu 2017.  Potrebno je pripremiti prijedlog produženog mandata projektne skupine u okviru CUP-a do kraja programa Carina 2020 kako bi se osigurao nastavak aktivnosti. To bi moglo značiti moguće izmjene mandata projektne skupine prvenstveno u svrhu jačanja unutarnjih postupaka. </w:t>
      </w:r>
    </w:p>
    <w:p w:rsidR="00476EE5" w:rsidRPr="00176542" w:rsidRDefault="00476EE5" w:rsidP="00476EE5">
      <w:r>
        <w:t xml:space="preserve">Taj sustav uspješnosti carinske unije (CUP) mehanizam je kojim se mjeri opseg u kojem se carinskim aktivnostima i operacijama predvodi/podržava postizanje strateških ciljeva carinske unije na temelju ključnih pokazatelja učinka (KPU). Sustav CUP upotrebljava se kao alat za upravljanje strateškim odlučivanjem i usmjeravanje takvog odlučivanja (ocjenjivanje </w:t>
      </w:r>
      <w:r>
        <w:lastRenderedPageBreak/>
        <w:t xml:space="preserve">uspješnosti, praćenje trendova, utvrđivanje nedostataka i područja za poboljšanje). Također se upotrebljava za podizanje svijesti glavnih dionika o rezultatima rada carine. </w:t>
      </w:r>
    </w:p>
    <w:p w:rsidR="00476EE5" w:rsidRPr="00176542" w:rsidRDefault="00476EE5" w:rsidP="00476EE5">
      <w:r>
        <w:t>U 2018. obilježava se 50. obljetnica carinske unije. Tom se prilikom mogu pokrenuti aktivnosti o funkcioniranju i budućnosti carinske unije.</w:t>
      </w:r>
    </w:p>
    <w:p w:rsidR="00476EE5" w:rsidRPr="00DF0165" w:rsidRDefault="00476EE5" w:rsidP="00476EE5">
      <w:pPr>
        <w:pStyle w:val="NumPar2"/>
        <w:rPr>
          <w:b/>
          <w:noProof/>
        </w:rPr>
      </w:pPr>
      <w:r>
        <w:rPr>
          <w:b/>
          <w:noProof/>
        </w:rPr>
        <w:t>Razvoj, provedba i poštovanje zakonodavstva carinske unije</w:t>
      </w:r>
    </w:p>
    <w:p w:rsidR="00476EE5" w:rsidRPr="00A33FE2" w:rsidRDefault="00476EE5" w:rsidP="00476EE5">
      <w:pPr>
        <w:rPr>
          <w:rFonts w:eastAsia="Calibri"/>
        </w:rPr>
      </w:pPr>
      <w:r>
        <w:t xml:space="preserve">Carinska unija pod isključivom je nadležnošću Europske unije, a za provedbu carinskog zakonodavstva prvenstveno su odgovorne države članice. </w:t>
      </w:r>
    </w:p>
    <w:p w:rsidR="00476EE5" w:rsidRPr="00A33FE2" w:rsidRDefault="00476EE5" w:rsidP="00476EE5">
      <w:pPr>
        <w:rPr>
          <w:rFonts w:eastAsia="Calibri"/>
        </w:rPr>
      </w:pPr>
      <w:r>
        <w:rPr>
          <w:b/>
        </w:rPr>
        <w:t>Carinski zakonik Unije (CZU)</w:t>
      </w:r>
      <w:r>
        <w:rPr>
          <w:rStyle w:val="FootnoteReference"/>
        </w:rPr>
        <w:footnoteReference w:id="22"/>
      </w:r>
      <w:r>
        <w:rPr>
          <w:b/>
        </w:rPr>
        <w:t>,</w:t>
      </w:r>
      <w:r>
        <w:t xml:space="preserve"> uključujući njegove provedbene i delegirane akte</w:t>
      </w:r>
      <w:r>
        <w:rPr>
          <w:rStyle w:val="FootnoteReference"/>
        </w:rPr>
        <w:footnoteReference w:id="23"/>
      </w:r>
      <w:r>
        <w:t>, predstavlja veliko preispitivanje postojećih carinskih propisa Unije. On je važna prekretnica u povijesti kontinuiranog razvoja carinske unije od 1968. i nov sveobuhvatni carinski pravni okvir za Uniju od 1. svibnja 2016. godine, koji osuvremenjuje carinska pravila i postupke u cijeloj Europskoj uniji. Paketom CZU-a želi se postići sljedeće:</w:t>
      </w:r>
    </w:p>
    <w:p w:rsidR="00476EE5" w:rsidRPr="00A33FE2" w:rsidRDefault="00476EE5" w:rsidP="00782113">
      <w:pPr>
        <w:pStyle w:val="Tiret0"/>
        <w:numPr>
          <w:ilvl w:val="0"/>
          <w:numId w:val="31"/>
        </w:numPr>
        <w:rPr>
          <w:rFonts w:eastAsia="Calibri"/>
        </w:rPr>
      </w:pPr>
      <w:r>
        <w:t>pojednostaviti carinsko zakonodavstvo i postupke,</w:t>
      </w:r>
    </w:p>
    <w:p w:rsidR="00476EE5" w:rsidRPr="00A33FE2" w:rsidRDefault="00476EE5" w:rsidP="00782113">
      <w:pPr>
        <w:pStyle w:val="Tiret0"/>
        <w:numPr>
          <w:ilvl w:val="0"/>
          <w:numId w:val="35"/>
        </w:numPr>
        <w:rPr>
          <w:rFonts w:eastAsia="Calibri"/>
        </w:rPr>
      </w:pPr>
      <w:r>
        <w:t>poduzećima ponuditi veću pravnu sigurnost i jednako postupanje,</w:t>
      </w:r>
    </w:p>
    <w:p w:rsidR="00476EE5" w:rsidRPr="00A33FE2" w:rsidRDefault="00476EE5" w:rsidP="00782113">
      <w:pPr>
        <w:pStyle w:val="Tiret0"/>
        <w:numPr>
          <w:ilvl w:val="0"/>
          <w:numId w:val="35"/>
        </w:numPr>
        <w:rPr>
          <w:rFonts w:eastAsia="Calibri"/>
        </w:rPr>
      </w:pPr>
      <w:r>
        <w:t>povećati jasnoću za carinske službenike u cijeloj Uniji,</w:t>
      </w:r>
    </w:p>
    <w:p w:rsidR="00476EE5" w:rsidRPr="00A33FE2" w:rsidRDefault="00476EE5" w:rsidP="00782113">
      <w:pPr>
        <w:pStyle w:val="Tiret0"/>
        <w:numPr>
          <w:ilvl w:val="0"/>
          <w:numId w:val="35"/>
        </w:numPr>
        <w:rPr>
          <w:rFonts w:eastAsia="Calibri"/>
        </w:rPr>
      </w:pPr>
      <w:r>
        <w:t>pojednostaviti carinska pravila i postupke i olakšati učinkovitije carinske poslove u skladu sa suvremenim potrebama,</w:t>
      </w:r>
    </w:p>
    <w:p w:rsidR="00476EE5" w:rsidRPr="00A33FE2" w:rsidRDefault="00476EE5" w:rsidP="00782113">
      <w:pPr>
        <w:pStyle w:val="Tiret0"/>
        <w:numPr>
          <w:ilvl w:val="0"/>
          <w:numId w:val="35"/>
        </w:numPr>
        <w:rPr>
          <w:rFonts w:eastAsia="Calibri"/>
        </w:rPr>
      </w:pPr>
      <w:r>
        <w:t>dovršiti prelazak carinskih tijela na potpuno elektroničko okruženje bez papira, što carinskoj uniji omogućuje veću učinkovitost kako bi se omogućila bolja suradnja između carinskih vlasti i povećala učinkovitost carinskih vlasti i gospodarskih subjekata u provedbi carinskih postupaka,</w:t>
      </w:r>
    </w:p>
    <w:p w:rsidR="00476EE5" w:rsidRDefault="00476EE5" w:rsidP="00782113">
      <w:pPr>
        <w:pStyle w:val="Tiret0"/>
        <w:numPr>
          <w:ilvl w:val="0"/>
          <w:numId w:val="35"/>
        </w:numPr>
        <w:rPr>
          <w:rFonts w:eastAsia="Calibri"/>
        </w:rPr>
      </w:pPr>
      <w:r>
        <w:t>jačati brže carinske postupke za poduzeća koja ispunjavaju kriterije i pouzdana su (ovlašteni gospodarski subjekti),</w:t>
      </w:r>
    </w:p>
    <w:p w:rsidR="00476EE5" w:rsidRDefault="00476EE5" w:rsidP="00782113">
      <w:pPr>
        <w:pStyle w:val="Tiret0"/>
        <w:numPr>
          <w:ilvl w:val="0"/>
          <w:numId w:val="35"/>
        </w:numPr>
        <w:rPr>
          <w:rFonts w:eastAsia="Calibri"/>
        </w:rPr>
      </w:pPr>
      <w:r>
        <w:t xml:space="preserve">podupirati carinska tijela u zaštiti financijskih resursa EU-a i država članica i u borbi protiv nezakonite trgovine, </w:t>
      </w:r>
    </w:p>
    <w:p w:rsidR="00476EE5" w:rsidRPr="00670BC3" w:rsidRDefault="00476EE5" w:rsidP="00782113">
      <w:pPr>
        <w:pStyle w:val="Tiret0"/>
        <w:numPr>
          <w:ilvl w:val="0"/>
          <w:numId w:val="35"/>
        </w:numPr>
      </w:pPr>
      <w:r>
        <w:t>podupirati carinska tijela u rješavanju pitanja sigurnosti i zaštite.</w:t>
      </w:r>
    </w:p>
    <w:p w:rsidR="00476EE5" w:rsidRPr="00A33FE2" w:rsidRDefault="00476EE5" w:rsidP="00476EE5">
      <w:pPr>
        <w:rPr>
          <w:rFonts w:eastAsia="Calibri"/>
        </w:rPr>
      </w:pPr>
      <w:r>
        <w:t xml:space="preserve">CZU je, ukratko, osmišljen radi povećanja konkurentnosti europskih poduzeća većim olakšavanjem trgovine, uz istodobno osiguravanje sigurnosti i zaštite robe koja je u provozu kroz Uniju ili ulazi i izlazi iz nje te čuvanje financijskih i gospodarskih interesa Unije i država članica. Njegova primjena podrazumijeva uključivanje država članica i trgovinskih stručnjaka u okviru posebnih ili zajedničkih aktivnosti osim službenih koje su potrebne kako bi se osigurala pravilna i jedinstvena provedba povezanih akata Komisije. Programske aktivnosti mogu olakšati taj postupak provedbe. </w:t>
      </w:r>
    </w:p>
    <w:p w:rsidR="00476EE5" w:rsidRPr="00A33FE2" w:rsidRDefault="00476EE5" w:rsidP="00476EE5">
      <w:pPr>
        <w:rPr>
          <w:rFonts w:eastAsia="Calibri"/>
        </w:rPr>
      </w:pPr>
      <w:r>
        <w:t xml:space="preserve">U isto vrijeme, </w:t>
      </w:r>
      <w:r>
        <w:rPr>
          <w:b/>
        </w:rPr>
        <w:t>raznim drugim propisima Unije</w:t>
      </w:r>
      <w:r>
        <w:t xml:space="preserve"> postavljeni su zadaci za carinska tijela. </w:t>
      </w:r>
    </w:p>
    <w:p w:rsidR="00476EE5" w:rsidRPr="00A33FE2" w:rsidRDefault="00476EE5" w:rsidP="00476EE5">
      <w:pPr>
        <w:rPr>
          <w:rFonts w:eastAsia="Calibri"/>
        </w:rPr>
      </w:pPr>
      <w:r>
        <w:t xml:space="preserve">Vrlo je važno osigurati jedinstvenu primjenu carinskog prava Europske unije, koju se mora podržati upravljačkim okvirom za </w:t>
      </w:r>
      <w:r>
        <w:rPr>
          <w:b/>
        </w:rPr>
        <w:t>praćenje</w:t>
      </w:r>
      <w:r>
        <w:t xml:space="preserve"> određenih područja. </w:t>
      </w:r>
    </w:p>
    <w:p w:rsidR="00476EE5" w:rsidRPr="00A33FE2" w:rsidRDefault="00476EE5" w:rsidP="00476EE5">
      <w:pPr>
        <w:rPr>
          <w:rFonts w:eastAsia="Calibri"/>
        </w:rPr>
      </w:pPr>
      <w:r>
        <w:lastRenderedPageBreak/>
        <w:t xml:space="preserve">Pravnim aktima kao takvima ne mogu se obuhvatiti svi detaljni aspekti međudjelovanja s raznim dionicima. Stoga su sastavljaju ili se sastavljaju i ažuriraju </w:t>
      </w:r>
      <w:r>
        <w:rPr>
          <w:b/>
        </w:rPr>
        <w:t>smjernice</w:t>
      </w:r>
      <w:r>
        <w:t xml:space="preserve"> kako bi se pojasnilo zakonodavstvo i osigurala pravilna i jedinstvena provedba pravila. Te se smjernice odnose na razne carinske postupke i sustave kojima su uređeni, posebice u području uvoza i izvoza, kako bi se povećala i ojačala svijest o uvođenju i provedbi Carinskog zakonika Unije.</w:t>
      </w:r>
    </w:p>
    <w:p w:rsidR="00476EE5" w:rsidRDefault="00476EE5" w:rsidP="00476EE5">
      <w:pPr>
        <w:rPr>
          <w:rFonts w:eastAsia="Calibri"/>
        </w:rPr>
      </w:pPr>
      <w:r>
        <w:rPr>
          <w:b/>
        </w:rPr>
        <w:t>Za izradu</w:t>
      </w:r>
      <w:r>
        <w:t xml:space="preserve"> tih </w:t>
      </w:r>
      <w:r>
        <w:rPr>
          <w:b/>
        </w:rPr>
        <w:t>smjernica</w:t>
      </w:r>
      <w:r>
        <w:t xml:space="preserve"> potrebni su temeljiti </w:t>
      </w:r>
      <w:r>
        <w:rPr>
          <w:b/>
        </w:rPr>
        <w:t>analitički rad</w:t>
      </w:r>
      <w:r>
        <w:t xml:space="preserve"> i koordinacija sa svim dionicima.</w:t>
      </w:r>
    </w:p>
    <w:p w:rsidR="00476EE5" w:rsidRPr="00DF0165" w:rsidRDefault="00476EE5" w:rsidP="00476EE5">
      <w:pPr>
        <w:pStyle w:val="NumPar2"/>
        <w:rPr>
          <w:rFonts w:eastAsia="Calibri"/>
          <w:b/>
        </w:rPr>
      </w:pPr>
      <w:r>
        <w:rPr>
          <w:b/>
          <w:noProof/>
        </w:rPr>
        <w:t xml:space="preserve">Ostvarenje suvremenog carinskog okruženja </w:t>
      </w:r>
    </w:p>
    <w:p w:rsidR="00476EE5" w:rsidRPr="00A33FE2" w:rsidRDefault="00476EE5" w:rsidP="00476EE5">
      <w:pPr>
        <w:rPr>
          <w:rFonts w:eastAsia="Calibri"/>
        </w:rPr>
      </w:pPr>
      <w:r>
        <w:t>CZU osigurava pravni okvir za nekoliko novih i modernih koncepata čime se ostvaruju koristi za carinska tijela, ali i za trgovinu. Zajedno s CZU-om utvrđuje se i usklađeni postupak primjene, savjetovanja i donošenja odluka koji omogućuje da se iskoristi valjanost na razini Unije odluka koje su prethodno bile primjenjive samo na nacionalnoj razini. Jednako tako, CZU osigurava pravnu osnovu za nova pojednostavljenja kao što su pojednostavljenja uvoza i izvoza (centralizirano carinjenje, unos u evidencije, samoprocjena itd.) i pojednostavljenja provoza (upotrebom prijevozne isprave).</w:t>
      </w:r>
    </w:p>
    <w:p w:rsidR="00476EE5" w:rsidRPr="00A33FE2" w:rsidRDefault="00476EE5" w:rsidP="00476EE5">
      <w:pPr>
        <w:rPr>
          <w:rFonts w:eastAsia="Calibri"/>
        </w:rPr>
      </w:pPr>
      <w:r>
        <w:t>Program rada za CZU pregled je projekata CZU-a i povezanih sustava IT-a koji će se razviti i uvesti. S obzirom na to da je usko povezan s Prijelaznim delegiranim aktom</w:t>
      </w:r>
      <w:r>
        <w:rPr>
          <w:rStyle w:val="FootnoteReference"/>
        </w:rPr>
        <w:footnoteReference w:id="24"/>
      </w:r>
      <w:r>
        <w:t xml:space="preserve"> (TDA), sadržava i rokove za primjenu prijelaznih pravila, a to su datumi početka primjene novih ili nadograđenih sustava. Provedba programa rada za CZU-a i ocjena napretka provodi se u bliskoj suradnji s državama članicama (i trgovcima). Točnije, pravna obveza objave informacija o planovima nacionalne provedbe koordinirat će se s državama članicama jer je važno da gospodarski subjekti znaju kada će nacionalni sustavi IT-a biti uvedeni u države članice. Budući da je popis projekata i njihovih planova provedbe 2017. bio podvrgnut važnom ponovnom ocjenjivanju, program rada za CZU bit će 2018. povučen i zamijenjen kako bi postojala pravna osnova za ažurirani plan provedbe koji odražava stvarno ostvareni napredak i u kojem se naglašava izvedivost.</w:t>
      </w:r>
    </w:p>
    <w:p w:rsidR="00476EE5" w:rsidRPr="00A33FE2" w:rsidRDefault="00476EE5" w:rsidP="00476EE5">
      <w:pPr>
        <w:rPr>
          <w:rFonts w:eastAsia="Calibri"/>
        </w:rPr>
      </w:pPr>
      <w:r>
        <w:t>Višegodišnji strateški plan (MASP) alat je za planiranje i upravljanje kojeg je izradila i kojeg redovito pregledava Komisija u partnerstvu s državama članicama, a služi za provedbu plana za elektroničku carinu u skladu s člankom 8. stavkom 2. Odluke o e-carini</w:t>
      </w:r>
      <w:r>
        <w:rPr>
          <w:rStyle w:val="FootnoteReference"/>
        </w:rPr>
        <w:footnoteReference w:id="25"/>
      </w:r>
      <w:r>
        <w:t xml:space="preserve">. MASP osigurava učinkovito i skladno upravljanje projektima IT-a postavljanjem strateškog okvira i ključnih točki za provedbu svih zahtjeva u pogledu elektroničke carine kako je utvrđeno zakonodavstvom Europske unije i međunarodnim sporazumima, uključujući potpuni pregled i planiranje svih budućih carinskih projekata s predviđenim zahtjevima u pogledu informacijske tehnologije (IT). Njime se nadopunjuje program rada za CZU, koji se odnosi na razvoj i uvođenje carinskih elektroničkih sustava potrebnih za primjenu CZU-a. </w:t>
      </w:r>
    </w:p>
    <w:p w:rsidR="00476EE5" w:rsidRPr="00A448F4" w:rsidRDefault="00476EE5" w:rsidP="00476EE5">
      <w:pPr>
        <w:rPr>
          <w:rFonts w:eastAsia="Calibri"/>
        </w:rPr>
      </w:pPr>
      <w:r>
        <w:t xml:space="preserve">Za ostvarenje zadataka povezanih s MASP-om neophodni su instrumenti za analizu, ponovno projektiranje i planiranje kao što su dokumenti poslovnog slučaja i oblikovanje poslovnih procesa (BPM), projektno planiranje i programi rada. Pripremne radnje zahtijevaju određivanje poslovnih scenarija i slučajeva, razradu poslovnih modela s pravnog stajališta u detaljan sustav oblikovanja poslovnih procesa s funkcionalnog stajališta i utvrđivanje metodologije, smjernica i podrške. Informacije koje se razmjenjuju, obrađuju i pohranjuju uvjetovane su uspostavom modela carinskih podataka Unije (EU CDM) kojim se osigurava neometano funkcioniranje </w:t>
      </w:r>
      <w:r>
        <w:lastRenderedPageBreak/>
        <w:t xml:space="preserve">carinske unije diljem EU-a, uključujući specifikacije sustava i drugu dokumentaciju o sustavima elektroničke carine.  </w:t>
      </w:r>
    </w:p>
    <w:p w:rsidR="00476EE5" w:rsidRDefault="00476EE5" w:rsidP="00476EE5">
      <w:pPr>
        <w:rPr>
          <w:rFonts w:eastAsia="Calibri"/>
        </w:rPr>
      </w:pPr>
      <w:r>
        <w:t>Pokreću se i razrađuju brojni projekti kako bi se razvili i uveli potrebni sustavi IT-a na razini Unije i na nacionalnoj razini. Ondje gdje je to potrebno utvrdit će se detaljne specifikacije za razvoj sustava IT-a.</w:t>
      </w:r>
    </w:p>
    <w:p w:rsidR="00476EE5" w:rsidRPr="00E77985" w:rsidRDefault="00476EE5" w:rsidP="00476EE5">
      <w:pPr>
        <w:rPr>
          <w:rFonts w:eastAsia="Calibri"/>
        </w:rPr>
      </w:pPr>
      <w:r>
        <w:t xml:space="preserve">S obzirom na nedavna kretanja u području tehnologije </w:t>
      </w:r>
      <w:r>
        <w:rPr>
          <w:i/>
        </w:rPr>
        <w:t>blockchain</w:t>
      </w:r>
      <w:r>
        <w:t xml:space="preserve">, gdje brojni ključni subjekti u međunarodnom opskrbnom lancu aktivno razmatraju i započinju primjenu tehnologije </w:t>
      </w:r>
      <w:r>
        <w:rPr>
          <w:i/>
        </w:rPr>
        <w:t>blockchain</w:t>
      </w:r>
      <w:r>
        <w:t xml:space="preserve"> kao novog sredstva za ostvarenje razvoja i uvođenje elektroničkih sustava, za korištenje tehnologije </w:t>
      </w:r>
      <w:r>
        <w:rPr>
          <w:i/>
        </w:rPr>
        <w:t>blockchain</w:t>
      </w:r>
      <w:r>
        <w:t xml:space="preserve"> u projektima MASP-a e-carine potrebne su buduće aktivnosti rada, analize, pokretanja i izrade prototipova kako bi se osiguralo da Komisija ostane pokretačka snaga i izvor prijedloga radi njezina daljnjeg doprinosa provedbi suvremene carine.</w:t>
      </w:r>
    </w:p>
    <w:p w:rsidR="00476EE5" w:rsidRPr="00E77985" w:rsidRDefault="00476EE5" w:rsidP="00476EE5">
      <w:pPr>
        <w:rPr>
          <w:rFonts w:eastAsia="Calibri"/>
        </w:rPr>
      </w:pPr>
      <w:r>
        <w:t>Rast digitalne ekonomije predstavlja izazove i mogućnosti carinama u EU-u. On dovodi do stvaranja novih poslovnih modela i mijenja način na koji uprave i poduzeća djeluju što utječe na konkurentnost EU-a. On isto tako ima utjecaj na sigurnost. E-trgovina, jedna od komponenti digitalne ekonomije, smatra se jednim od glavnih pokretača gospodarskog razvoja. Posljednjih je godina zabilježeno brzo povećanje broja pošiljaka male vrijednosti. To predstavlja izazov za carinske uprave u EU-u u smislu naplate primjenjivih carina, zaštite građana od nezakonitog ulaska robe, što predstavlja rizik za sigurnost, zdravlje i zaštitu, zaštitu financijskih i gospodarskih interesa poduzeća EU-a i primjenu učinkovitih kontrola uz istovremeno olakšavanje razvoja tog oblika trgovine.</w:t>
      </w:r>
    </w:p>
    <w:p w:rsidR="00476EE5" w:rsidRPr="00DF0165" w:rsidRDefault="00476EE5" w:rsidP="00476EE5">
      <w:pPr>
        <w:pStyle w:val="NumPar2"/>
        <w:rPr>
          <w:b/>
          <w:noProof/>
        </w:rPr>
      </w:pPr>
      <w:r>
        <w:rPr>
          <w:b/>
          <w:noProof/>
        </w:rPr>
        <w:t>Upravljanje rizicima u carinskim pitanjima i sigurnost lanca opskrbe</w:t>
      </w:r>
    </w:p>
    <w:p w:rsidR="00476EE5" w:rsidRPr="008A7CD5" w:rsidRDefault="00476EE5" w:rsidP="00476EE5">
      <w:pPr>
        <w:rPr>
          <w:rFonts w:eastAsia="Calibri"/>
        </w:rPr>
      </w:pPr>
      <w:r>
        <w:t>Učinkovito upravljanje rizicima u međunarodnom lancu opskrbe presudno je za osiguravanje sigurnosti i zaštite stanovnika Unije te zaštitu financijskih i gospodarskih interesa Unije, a u isto vrijeme njime se olakšava i ubrzava zakonita trgovina i pospješuje konkurentnost Unije. Kad se carina ne bi mogla uspješno i dosljedno nositi s rizicima, carinska unija i jedinstveno tržište Unije postali bi neodrživi. Carina u Uniji mora poboljšati upravljanje rizicima radi jačanja integriteta međunarodnih lanaca opskrbe.  Nakon Komunikacije Komisije od 8. siječnja 2013., Vijeće je zatražilo</w:t>
      </w:r>
      <w:r>
        <w:rPr>
          <w:rStyle w:val="FootnoteReference"/>
        </w:rPr>
        <w:footnoteReference w:id="26"/>
      </w:r>
      <w:r>
        <w:t xml:space="preserve"> i potom usvojilo Strategiju i Akcijski plan Unije za upravljanje rizicima u carinskim pitanjima</w:t>
      </w:r>
      <w:r>
        <w:rPr>
          <w:rStyle w:val="FootnoteReference"/>
        </w:rPr>
        <w:footnoteReference w:id="27"/>
      </w:r>
      <w:r>
        <w:t xml:space="preserve"> (Strategija; Akcijski plan). </w:t>
      </w:r>
    </w:p>
    <w:p w:rsidR="00476EE5" w:rsidRPr="00A33FE2" w:rsidRDefault="00476EE5" w:rsidP="00476EE5">
      <w:pPr>
        <w:rPr>
          <w:rFonts w:eastAsia="Calibri"/>
        </w:rPr>
      </w:pPr>
      <w:r>
        <w:t xml:space="preserve">U Strategiji (koja ostaje valjana, prema Zaključcima Vijeća o Izvješću o napretku iz 2016.) utvrđuje se niz ključnih ciljeva čiji je temelj opći cilj postizanja visokokvalitetnog i višeslojnog pristupa djelotvornom i učinkovitom upravljanju rizicima. U njoj se također opisuju odgovarajuće mjere za ublažavanje i kontrolu rizika koje se moraju provesti u najprikladnijem trenutku i na najprikladnijem mjestu u lancu opskrbe. Akcijskim planom utvrđuje se niz mjera za pojedine ciljeve. </w:t>
      </w:r>
    </w:p>
    <w:p w:rsidR="00476EE5" w:rsidRDefault="00476EE5" w:rsidP="00476EE5">
      <w:pPr>
        <w:rPr>
          <w:rFonts w:eastAsia="Calibri"/>
        </w:rPr>
      </w:pPr>
      <w:r>
        <w:t>Mjere su usmjerene na uklanjanje utvrđenih nedostataka radi postupnog jačanja kapaciteta carinskih tijela Unije i sustavnije suradnje s drugim agencijama, gospodarskim subjektima i međunarodnim trgovinskim partnerima. Kako bi se osigurala koordinirana i strukturirana provedba tih mjera, Komisija je utvrdila ostvariv i detaljan plan djelovanja.</w:t>
      </w:r>
    </w:p>
    <w:p w:rsidR="00476EE5" w:rsidRPr="00927FD9" w:rsidRDefault="00476EE5" w:rsidP="00476EE5">
      <w:pPr>
        <w:rPr>
          <w:rFonts w:eastAsia="Calibri"/>
        </w:rPr>
      </w:pPr>
      <w:r>
        <w:t xml:space="preserve">Uz potporu Zajedničkog istraživačkog centra, pilot projektom </w:t>
      </w:r>
      <w:r>
        <w:rPr>
          <w:i/>
        </w:rPr>
        <w:t>Contraffic-ENS</w:t>
      </w:r>
      <w:r>
        <w:t xml:space="preserve"> razvit će se preliminarni plan rješenja za integraciju analize kretanja kontejnera u analizu rizika u realnom vremenu i nastavit će se podupirati operativna provedba pilot-projekata s državama članicama.</w:t>
      </w:r>
    </w:p>
    <w:p w:rsidR="00476EE5" w:rsidRPr="00927FD9" w:rsidRDefault="00476EE5" w:rsidP="00476EE5">
      <w:pPr>
        <w:rPr>
          <w:rFonts w:eastAsia="Calibri"/>
        </w:rPr>
      </w:pPr>
      <w:r>
        <w:lastRenderedPageBreak/>
        <w:t xml:space="preserve">Razvija se sustavni </w:t>
      </w:r>
      <w:r>
        <w:rPr>
          <w:b/>
        </w:rPr>
        <w:t>ciklus procjene Okvira za upravljanje rizicima u carinskim pitanjima</w:t>
      </w:r>
      <w:r>
        <w:t xml:space="preserve"> kako bi se pružio pregled iskustava u pogledu procjene i prioriteta za daljnje djelovanje u provedbi zajedničkog okvira upravljanja rizicima u kontekstu Strategije i Akcijskog plana.</w:t>
      </w:r>
    </w:p>
    <w:p w:rsidR="00476EE5" w:rsidRPr="00927FD9" w:rsidRDefault="00476EE5" w:rsidP="00476EE5">
      <w:pPr>
        <w:rPr>
          <w:rFonts w:eastAsia="Calibri"/>
        </w:rPr>
      </w:pPr>
      <w:r>
        <w:t xml:space="preserve">Suradnja između carine i drugih tijela prioritet je strategije. Suradnja povezana s upravljanjem rizicima s </w:t>
      </w:r>
      <w:r>
        <w:rPr>
          <w:i/>
        </w:rPr>
        <w:t>Europolom</w:t>
      </w:r>
      <w:r>
        <w:t xml:space="preserve"> i dalje će se razvijati, a suradnja s </w:t>
      </w:r>
      <w:r>
        <w:rPr>
          <w:i/>
        </w:rPr>
        <w:t xml:space="preserve">Agencijom za europsku graničnu i obalnu stražu </w:t>
      </w:r>
      <w:r>
        <w:t>(</w:t>
      </w:r>
      <w:r>
        <w:rPr>
          <w:i/>
        </w:rPr>
        <w:t>EBCGA – Frontex</w:t>
      </w:r>
      <w:r>
        <w:t>) razvijat će se na temelju članka 52. stavka 3. Uredbe (EU) 2016/1624 Europskog parlamenta i Vijeća</w:t>
      </w:r>
      <w:r>
        <w:rPr>
          <w:rStyle w:val="FootnoteReference"/>
        </w:rPr>
        <w:footnoteReference w:id="28"/>
      </w:r>
      <w:r>
        <w:t>.</w:t>
      </w:r>
    </w:p>
    <w:p w:rsidR="00476EE5" w:rsidRPr="00DF0165" w:rsidRDefault="00476EE5" w:rsidP="00476EE5">
      <w:pPr>
        <w:pStyle w:val="NumPar2"/>
        <w:rPr>
          <w:b/>
          <w:noProof/>
        </w:rPr>
      </w:pPr>
      <w:r>
        <w:rPr>
          <w:b/>
          <w:noProof/>
        </w:rPr>
        <w:t>Međunarodna suradnja s trećim zemljama i međunarodnim organizacijama</w:t>
      </w:r>
    </w:p>
    <w:p w:rsidR="00476EE5" w:rsidRPr="00A33FE2" w:rsidRDefault="00476EE5" w:rsidP="00476EE5">
      <w:pPr>
        <w:rPr>
          <w:rFonts w:eastAsia="Calibri"/>
        </w:rPr>
      </w:pPr>
      <w:r>
        <w:t xml:space="preserve">Budući da je u prirodi carine djelovanje na vanjskim granicama EU-a, ona ima „urođenu” međunarodnu dimenziju. Izvoz jedne zemlje uvoz je neke druge zemlje. Suradnja s trećim zemljama i međunarodnim organizacijama u području carine dobiva novu perspektivu.  Globalizacijom trgovine postaje sve vidljivije koliku važnost za Uniju ima razmjena iskustava i informacija s trećim zemljama i međunarodnim organizacijama ili tijelima s ciljem olakšavanja trgovine i carinskih postupaka.  </w:t>
      </w:r>
    </w:p>
    <w:p w:rsidR="00476EE5" w:rsidRPr="00A33FE2" w:rsidRDefault="00476EE5" w:rsidP="00476EE5">
      <w:pPr>
        <w:rPr>
          <w:rFonts w:eastAsia="Calibri"/>
        </w:rPr>
      </w:pPr>
      <w:r>
        <w:t>U tom je smislu potrebno uspostaviti bliskiju suradnju sa zemljama proširenja te susjednim zemljama Unije na istoku i Sredozemlju kako bi se olakšala trgovina, a istodobno osigurali sigurnost i zaštita, suzbijalo prijevare i osigurala pomoć pri osuvremenjivanju carinskih uprava u tim zemljama.</w:t>
      </w:r>
    </w:p>
    <w:p w:rsidR="00476EE5" w:rsidRPr="00A33FE2" w:rsidRDefault="00476EE5" w:rsidP="00476EE5">
      <w:pPr>
        <w:rPr>
          <w:rFonts w:eastAsia="Calibri"/>
        </w:rPr>
      </w:pPr>
      <w:r>
        <w:t>Azijsko-europski sastanak (ASEM) glavni je alat za suradnju između Europske unije i Azije. Na njemu se raspravlja o političkim, gospodarskim i kulturnim pitanjima s ciljem jačanja odnosa između tih dviju regija. U području carine on omogućuje poboljšanje suradnje između Europe i Azije. Aktivnosti se poduzimaju u okviru namjenskih akcijskih planova u kojima važnu ulogu ima koordinacija među akcijskim planovima i unutar njih i olakšavanje provedbe.</w:t>
      </w:r>
    </w:p>
    <w:p w:rsidR="00476EE5" w:rsidRPr="00A448F4" w:rsidRDefault="00476EE5" w:rsidP="00476EE5">
      <w:pPr>
        <w:rPr>
          <w:rFonts w:eastAsia="Calibri"/>
        </w:rPr>
      </w:pPr>
      <w:r>
        <w:t>Svjetska carinska organizacija (WCO) glavni je alat multilateralne suradnje carinskih uprava diljem svijeta. Europska unija vrlo je važan dionik koji pridonosi aktivnostima WCO-a. To predstavlja priliku da se razmijene stručna znanja i još više promiču politike i prioriteti Unije te podigne svijest o ulozi Europske unije u međunarodnoj carinskoj suradnji.</w:t>
      </w:r>
    </w:p>
    <w:p w:rsidR="00476EE5" w:rsidRPr="00A33FE2" w:rsidRDefault="00476EE5" w:rsidP="00476EE5">
      <w:pPr>
        <w:rPr>
          <w:rFonts w:eastAsia="Calibri"/>
        </w:rPr>
      </w:pPr>
      <w:r>
        <w:t xml:space="preserve">U veljači 2017. stupio je na snagu Sporazum o olakšavanju trgovine Svjetske trgovinske organizacije (WTO). Sporazumom se za svakog člana WTO-a (među kojima je i Europska unija i njezine države članice) podrazumijeva provjera i potvrda ispunjenja međunarodnih obveza koje proizlaze iz Sporazuma i poduzimanje, prema potrebi, mjera za usklađivanje.  </w:t>
      </w:r>
    </w:p>
    <w:p w:rsidR="00476EE5" w:rsidRPr="003073E0" w:rsidRDefault="00476EE5" w:rsidP="00476EE5">
      <w:pPr>
        <w:rPr>
          <w:rFonts w:eastAsia="Calibri"/>
        </w:rPr>
      </w:pPr>
      <w:r>
        <w:t xml:space="preserve">Program Carina 2020. može pridonijeti međunarodnim aktivnostima pružanjem potpore Komisiji i državama članicama tijekom pripreme zajedničkog stajališta koje će zauzeti na međunarodnoj razini i predstavljanja „jednog glasa” u ime carinske unije. U isto vrijeme, program u okviru svojih aktivnosti može omogućiti potporu radu Komisije u međunarodnom području uz stručno operativno znanje država članica. </w:t>
      </w:r>
    </w:p>
    <w:p w:rsidR="00476EE5" w:rsidRPr="00DF0165" w:rsidRDefault="00476EE5" w:rsidP="00476EE5">
      <w:pPr>
        <w:pStyle w:val="NumPar1"/>
        <w:rPr>
          <w:b/>
        </w:rPr>
      </w:pPr>
      <w:r>
        <w:rPr>
          <w:b/>
        </w:rPr>
        <w:t>ZAŠTITA FINANCIJSKIH I GOSPODARSKIH INTERESA UNIJE I DRŽAVA ČLANICA</w:t>
      </w:r>
    </w:p>
    <w:p w:rsidR="00476EE5" w:rsidRPr="00A448F4" w:rsidRDefault="00476EE5" w:rsidP="00476EE5">
      <w:pPr>
        <w:rPr>
          <w:rFonts w:eastAsia="Calibri"/>
        </w:rPr>
      </w:pPr>
      <w:r>
        <w:t xml:space="preserve">Uloga carine u oblikovanju uvjeta na globalnom tržištu je osigurati gospodarski razvoj Europske unije i njezinih država članica. </w:t>
      </w:r>
    </w:p>
    <w:p w:rsidR="00476EE5" w:rsidRPr="00A448F4" w:rsidRDefault="00476EE5" w:rsidP="00476EE5">
      <w:pPr>
        <w:rPr>
          <w:rFonts w:eastAsia="Calibri"/>
        </w:rPr>
      </w:pPr>
      <w:r>
        <w:t xml:space="preserve">Ovaj naslov godišnjeg programa rada obuhvaća projekte usmjerene na osiguravanje ubiranja carina i povezanih poreza te na ostvarivanje ciljeva za zaštitu financijskih interesa Europske </w:t>
      </w:r>
      <w:r>
        <w:lastRenderedPageBreak/>
        <w:t xml:space="preserve">unije i njezinih država članica, uključujući izdvajanje radnji i pošiljaka povezanih s prijevarama. </w:t>
      </w:r>
    </w:p>
    <w:p w:rsidR="00476EE5" w:rsidRPr="00DF0165" w:rsidRDefault="00476EE5" w:rsidP="00476EE5">
      <w:pPr>
        <w:pStyle w:val="NumPar2"/>
        <w:rPr>
          <w:b/>
          <w:noProof/>
        </w:rPr>
      </w:pPr>
      <w:r>
        <w:rPr>
          <w:b/>
          <w:noProof/>
        </w:rPr>
        <w:t>Određivanje i ubiranje carina i povezanih poreza</w:t>
      </w:r>
    </w:p>
    <w:p w:rsidR="00476EE5" w:rsidRPr="00A448F4" w:rsidRDefault="00476EE5" w:rsidP="00476EE5">
      <w:pPr>
        <w:rPr>
          <w:rFonts w:eastAsia="Calibri"/>
        </w:rPr>
      </w:pPr>
      <w:r>
        <w:t>Tradicionalna uloga carine u Europskoj uniji uključuje ubiranje carinskih i neizravnih poreza pri uvozu kao što su trošarine i ubiranje ili nadzor nad ubiranjem neizravnih poreza kao što su trošarine ili porez na dodanu vrijednost (PDV) pri uvozu. Unatoč sve većem broju sporazuma o slobodnoj trgovini koji smanjuju carinske poreze koji se ubiru pri uvozu, i dalje se svake godine ubiru milijarde eura. Države članice zadržavaju 20 % carinskih poreza za pokrivanje troškova ubiranja, a 80 % postaje dio prihoda Europske unije</w:t>
      </w:r>
      <w:r>
        <w:rPr>
          <w:rStyle w:val="FootnoteReference"/>
        </w:rPr>
        <w:footnoteReference w:id="29"/>
      </w:r>
      <w:r>
        <w:t xml:space="preserve">.  </w:t>
      </w:r>
    </w:p>
    <w:p w:rsidR="00476EE5" w:rsidRPr="00A448F4" w:rsidRDefault="00476EE5" w:rsidP="00476EE5">
      <w:pPr>
        <w:rPr>
          <w:rFonts w:eastAsia="Calibri"/>
        </w:rPr>
      </w:pPr>
      <w:r>
        <w:t>Stoga je bitno da carinska tijela učinkovito i djelotvorno obračunavaju davanja, u skladu s raznim povezanim propisima Europske unije i država članica i u njihovu interesu. S obzirom na njihovu ulogu u ubiranju neizravnih poreza, ujedno je potrebno da oni učinkovito obavljaju taj zadatak.</w:t>
      </w:r>
    </w:p>
    <w:p w:rsidR="00476EE5" w:rsidRPr="00A448F4" w:rsidRDefault="00476EE5" w:rsidP="00476EE5">
      <w:pPr>
        <w:rPr>
          <w:rFonts w:eastAsia="Calibri"/>
        </w:rPr>
      </w:pPr>
      <w:r>
        <w:t>Kako bi se osigurala pravilna zaštita financijskih interesa, mora se uspostaviti učinkovit mehanizam za upravljanje i praćenje jamstava koja su predviđena za carinske svrhe. CZU-om se propisuju nove mogućnosti jamstva kao što su jamstva koja su valjana diljem carinske unije te novi zahtjevi u pogledu jamstava kao, primjerice, zahtjevi koji se odnose na privremeno skladištenje i posebne postupke. Države članice državama članicama u kojima se carinske deklaracije podnose i prihvaćaju moraju osigurati elektroničku dostupnost podataka o jamstvima koja se primjenjuju na uvoz i izvoz i koja utječu na više od jedne države članice. Prijelazne mjere za primjenu ovog zahtjeva iz CZU-a provode se od 1. svibnja 2016. do uspostave novog sustava upravljanja jamstvima u skladu s CZU-om.</w:t>
      </w:r>
    </w:p>
    <w:p w:rsidR="00476EE5" w:rsidRPr="00A448F4" w:rsidRDefault="00476EE5" w:rsidP="00476EE5">
      <w:pPr>
        <w:rPr>
          <w:rFonts w:eastAsia="Calibri"/>
        </w:rPr>
      </w:pPr>
      <w:r>
        <w:t>Postoji potreba za pripremom sveobuhvatnih smjernica za carinski dug i jamstva kako bi se osigurala pravilna provedba novih zahtjeva u pogledu jamstava, uključujući prepoznavanje praktičnih aspekata i predstavljanje mogućih scenarija.  Time će se pridonijeti pravilnoj i ujednačenoj primjeni osuvremenjenih carinskih propisa u cijeloj Europskoj uniji.</w:t>
      </w:r>
    </w:p>
    <w:p w:rsidR="00476EE5" w:rsidRPr="00A448F4" w:rsidRDefault="00476EE5" w:rsidP="00476EE5">
      <w:pPr>
        <w:rPr>
          <w:rFonts w:eastAsia="Calibri"/>
        </w:rPr>
      </w:pPr>
      <w:r>
        <w:t>U postupku neplaćanja te postupku otplate i otpusta (REM/REC) treba revidirati postojeće smjernice i ažurirati ih u skladu s novim kretanjima, među ostalim, u sudskoj praksi te obuhvatiti pitanja nastanka i nestanka carinskog duga.</w:t>
      </w:r>
    </w:p>
    <w:p w:rsidR="00476EE5" w:rsidRPr="00A448F4" w:rsidRDefault="00476EE5" w:rsidP="00476EE5">
      <w:pPr>
        <w:rPr>
          <w:rFonts w:eastAsia="Calibri"/>
        </w:rPr>
      </w:pPr>
      <w:r>
        <w:t>Porezne i carinske uprave suočavaju se sa sličnim izazovima. Treba poboljšati suradnju carinskih i poreznih tijela (PDV i trošarine te eventualno izravno oporezivanje) u određenim područjima od zajedničkog interesa (kao što je e-trgovina) radi učinkovitije borbe protiv poreznih prijevara, osiguravanja ubiranja carina i poreza, uz istovremeno olakšavanje trgovine i istraživanje sinergija među tijelima koje bi mogle dovesti do veće učinkovitosti i uštede. U akcijskom planu o PDV-u – put k jedinstvenom europskom području PDV-a</w:t>
      </w:r>
      <w:r>
        <w:rPr>
          <w:rStyle w:val="FootnoteReference"/>
        </w:rPr>
        <w:footnoteReference w:id="30"/>
      </w:r>
      <w:r>
        <w:t xml:space="preserve"> predlažu se aktivnosti potpore dubljoj suradnji između različitih tijela, uključujući suradnju između carinskih i poreznih tijela. </w:t>
      </w:r>
    </w:p>
    <w:p w:rsidR="00476EE5" w:rsidRPr="00A448F4" w:rsidRDefault="00476EE5" w:rsidP="00476EE5">
      <w:pPr>
        <w:rPr>
          <w:rFonts w:eastAsia="Calibri"/>
        </w:rPr>
      </w:pPr>
      <w:r>
        <w:lastRenderedPageBreak/>
        <w:t>Europski revizorski sud izdao je opažanja i preporuke o potrebi da se poboljša koordinacija i izbjegne preklapanje nadležnosti upravnih i sudbenih tijela i tijela za izvršavanje zakonodavstva radi suzbijanja prijevara</w:t>
      </w:r>
      <w:r>
        <w:rPr>
          <w:rStyle w:val="FootnoteReference"/>
        </w:rPr>
        <w:footnoteReference w:id="31"/>
      </w:r>
      <w:r>
        <w:t xml:space="preserve"> povezanih s PDV-om i zlouporabe carinskog postupka 4200</w:t>
      </w:r>
      <w:r>
        <w:rPr>
          <w:rStyle w:val="FootnoteReference"/>
        </w:rPr>
        <w:footnoteReference w:id="32"/>
      </w:r>
      <w:r>
        <w:t xml:space="preserve">. </w:t>
      </w:r>
    </w:p>
    <w:p w:rsidR="00476EE5" w:rsidRPr="00A448F4" w:rsidRDefault="00476EE5" w:rsidP="00476EE5">
      <w:pPr>
        <w:rPr>
          <w:rFonts w:eastAsia="Calibri"/>
        </w:rPr>
      </w:pPr>
      <w:r>
        <w:t xml:space="preserve">Analiza financijskog rizika i srodne carinske provjere ili druge mjere koje se primjenjuju na svu robu koja ulazi u Uniju ili je napušta u pogledu svih vrsta prijevoza moraju se provoditi jedinstveno u svim državama članicama na temelju zajedničkih kriterija i standarda rizika. Kriteriji i standardi rizika razvijeni su u prošlosti prvenstveno radi rješavanja pitanja sigurnosti i zaštite. Strategija Unije o upravljanju rizicima u carinskim pitanjima i sigurnosti lanca opskrbe ukazuje na potrebu daljnjeg razvijanja kriterija rizika za financijske i komercijalne rizike (određivanje carinske vrijednosti, podrijetlo, pogrešno razvrstavanje, postupak 4200, protudampinške mjere itd.). To uključuje pitanje „gdje i kada” i na temelju kojih podataka je najbolje provesti procjenu rizika i kontrolu. Cilj je zajednički pristup rješavanju financijskih rizika u Europskoj uniji i borbi protiv financijskih prijevara i nepravilnosti na konvergentan način. </w:t>
      </w:r>
    </w:p>
    <w:p w:rsidR="00476EE5" w:rsidRPr="00A448F4" w:rsidRDefault="00476EE5" w:rsidP="00476EE5">
      <w:pPr>
        <w:rPr>
          <w:rFonts w:eastAsia="Calibri"/>
        </w:rPr>
      </w:pPr>
      <w:r>
        <w:t>Postoji dugoročna strategija unutar Unije kojom se osigurava potpora gospodarskom rastu i smanjuju administrativne prepreke za poslovni sektor. Ta je strategija pridonijela osiguravanju provedbe fizičkog pregleda samo kada je to primjereno tijekom carinskih postupaka i usmjeravanju resursa na kontrole kojima se rizici mogu riješiti na najučinkovitiji način. Kao posljedica toga, ojačani su minimalni standardi za revizije i kontrole nakon carinskog postupka. Kako bi se osigurao jednaki pristup gospodarskim subjektima i jednako postupanje s njima tijekom revizija i kontrola nakon carinjenja, potrebno je osigurati iste metodologije unutar svih država članica. U tu su svrhu države članice usvojile novi vodič za carinsku reviziju.</w:t>
      </w:r>
    </w:p>
    <w:p w:rsidR="00476EE5" w:rsidRPr="00DF0165" w:rsidRDefault="00476EE5" w:rsidP="00476EE5">
      <w:pPr>
        <w:pStyle w:val="NumPar2"/>
        <w:rPr>
          <w:b/>
          <w:noProof/>
        </w:rPr>
      </w:pPr>
      <w:r>
        <w:rPr>
          <w:b/>
          <w:noProof/>
        </w:rPr>
        <w:t>Carinska tarifa i razvrstavanje</w:t>
      </w:r>
    </w:p>
    <w:p w:rsidR="00476EE5" w:rsidRPr="00A448F4" w:rsidRDefault="00476EE5" w:rsidP="00476EE5">
      <w:pPr>
        <w:rPr>
          <w:rFonts w:eastAsia="Calibri"/>
        </w:rPr>
      </w:pPr>
      <w:r>
        <w:t xml:space="preserve">Iznos carine koju je potrebno platiti određuju carinska vrijednost, podrijetlo i carinska tarifa. Iz tog se razloga sva roba koja se uvozi u Uniju ili se iz nje izvozi mora razvrstati u carinske svrhe. Svaki zasebni proizvod može biti povezan s određenom oznakom razvrstavanja. Ispravno određivanje oznake iznimno je bitno jer predstavlja osnovu za određivanje carine zajedno sa složenim skupom mjera (uključujući mjere trgovinske zaštite), a moguće i ograničenja ili zabrana povezanih s podrijetlom i carinskom vrijednosti. </w:t>
      </w:r>
    </w:p>
    <w:p w:rsidR="00476EE5" w:rsidRPr="00A448F4" w:rsidRDefault="00476EE5" w:rsidP="00476EE5">
      <w:pPr>
        <w:rPr>
          <w:rFonts w:eastAsia="Calibri"/>
        </w:rPr>
      </w:pPr>
      <w:r>
        <w:t xml:space="preserve">Nomenklatura harmoniziranog sustava Svjetske carinske organizacije (WCO-a) čini temelj kombinirane nomenklature (KN). Obje nomenklature osnova su svih razvrstavanja koja se upotrebljavaju u području carinjenja, carinske kontrole i statistike, a također su sadržane u mnogim propisima Unije kao i u međunarodnim sporazumima. Unatoč tome, carinsko razvrstavanje i dalje je teško izvedivo jer su nomenklature i njihova objašnjenja opsežni i složeni. Nadalje, današnje nomenklature ne odražavaju uvijek stvarno stanje trgovine: stara područja nestaju, nova područja su u nastajanju, neke važne kategorije proizvoda nisu učinkovito razdvojene, korištene norme i opisi zastarijevaju. </w:t>
      </w:r>
    </w:p>
    <w:p w:rsidR="00476EE5" w:rsidRDefault="00476EE5" w:rsidP="00476EE5">
      <w:pPr>
        <w:rPr>
          <w:rFonts w:eastAsia="Calibri"/>
        </w:rPr>
      </w:pPr>
      <w:r>
        <w:t xml:space="preserve">Europska komisija uvela je sustav Europskih obvezujućih tarifnih informacija (EOTI) koji služi kao alat za pomoć gospodarskim subjektima da dobiju pravilno razvrstavanje u carinsku tarifu i izbjegnu različite odluke povezane s OTI-jima za isti proizvod. Praćenje korištenja OTI-ja nova je obveza prema CZU-u. Sustavi EOTI-a i nadzora olakšat će to praćenje nakon nadogradnje nacionalnih sustava. </w:t>
      </w:r>
    </w:p>
    <w:p w:rsidR="00476EE5" w:rsidRPr="00A448F4" w:rsidRDefault="00476EE5" w:rsidP="00476EE5">
      <w:pPr>
        <w:rPr>
          <w:rFonts w:eastAsia="Calibri"/>
        </w:rPr>
      </w:pPr>
      <w:r>
        <w:lastRenderedPageBreak/>
        <w:t>U listopadu 2018. planira se početak djelovanja Informacijskog sustava razvrstavanja (CLASS) za koji su potrebne pripreme za pokretanje i mjere potpore u provedbi i uporabi.</w:t>
      </w:r>
    </w:p>
    <w:p w:rsidR="00476EE5" w:rsidRPr="00A448F4" w:rsidRDefault="00476EE5" w:rsidP="00476EE5">
      <w:pPr>
        <w:rPr>
          <w:rFonts w:eastAsia="Calibri"/>
        </w:rPr>
      </w:pPr>
      <w:r>
        <w:t xml:space="preserve">Postupak carinjenja olakšava elektronički tarifni sustav (TARIC). Sustav TARIC objedinjuje sve mjere koje se odnose na carinsku tarifu, trgovinsko i poljoprivredno zakonodavstvo Europske unije.  Mjere u području tarifa posebno se odnose na „carinu treće zemlje”, carine koje se primjenjuju na sav uvoz robe podrijetlom iz zemalja izvan Unije, u skladu s definicijama navedenima u </w:t>
      </w:r>
      <w:hyperlink r:id="rId17">
        <w:r>
          <w:t>kombiniranoj nomenklaturi</w:t>
        </w:r>
      </w:hyperlink>
      <w:r>
        <w:t xml:space="preserve">, na carinske povlastice, </w:t>
      </w:r>
      <w:hyperlink r:id="rId18">
        <w:r>
          <w:t>autonomne suspenzije carina</w:t>
        </w:r>
      </w:hyperlink>
      <w:r>
        <w:t xml:space="preserve">, </w:t>
      </w:r>
      <w:hyperlink r:id="rId19">
        <w:r>
          <w:t>tarifne kvote</w:t>
        </w:r>
      </w:hyperlink>
      <w:r>
        <w:t xml:space="preserve"> i carinske unije.</w:t>
      </w:r>
    </w:p>
    <w:p w:rsidR="00476EE5" w:rsidRPr="00A448F4" w:rsidRDefault="00476EE5" w:rsidP="00476EE5">
      <w:pPr>
        <w:rPr>
          <w:rFonts w:eastAsia="Calibri"/>
        </w:rPr>
      </w:pPr>
      <w:r>
        <w:t>Međutim, razina primjene provjera vjerodostojnosti (čiji je cilj osigurati točno navođenje podataka u carinskim deklaracijama) integriran u sustav TARIC razlikuje se među državama članicama. To ima negativan utjecaj na točnost deklaracija čime se riskira gubitak prihoda.</w:t>
      </w:r>
    </w:p>
    <w:p w:rsidR="00476EE5" w:rsidRPr="00A448F4" w:rsidRDefault="00476EE5" w:rsidP="00476EE5">
      <w:pPr>
        <w:rPr>
          <w:rFonts w:eastAsia="Calibri"/>
        </w:rPr>
      </w:pPr>
      <w:r>
        <w:t>TARIC zajedno sa sustavom QUOTA osigurava jedinstvenu raspodjelu tarifnih kvota diljem EU-a. Iznimno je važno da ti sustavi budu povezani i da ih se redovito ažurira.</w:t>
      </w:r>
    </w:p>
    <w:p w:rsidR="00476EE5" w:rsidRPr="00A448F4" w:rsidRDefault="00476EE5" w:rsidP="00476EE5">
      <w:pPr>
        <w:rPr>
          <w:rFonts w:eastAsia="Calibri"/>
        </w:rPr>
      </w:pPr>
      <w:r>
        <w:t xml:space="preserve">Nadzor sadržava relevantne informacije u pogledu trgovinskih tokova i primjerenosti primijenjenih mjera i stoga za carinska tijela i trgovinu osigurava vrijedne povratne informacije o mogućim rizicima. </w:t>
      </w:r>
    </w:p>
    <w:p w:rsidR="00476EE5" w:rsidRPr="00DF0165" w:rsidRDefault="00476EE5" w:rsidP="00476EE5">
      <w:pPr>
        <w:pStyle w:val="NumPar2"/>
        <w:rPr>
          <w:b/>
          <w:noProof/>
        </w:rPr>
      </w:pPr>
      <w:r>
        <w:rPr>
          <w:b/>
          <w:noProof/>
        </w:rPr>
        <w:t>Pravila o podrijetlu</w:t>
      </w:r>
    </w:p>
    <w:p w:rsidR="00476EE5" w:rsidRPr="00A448F4" w:rsidRDefault="00476EE5" w:rsidP="00476EE5">
      <w:pPr>
        <w:rPr>
          <w:rFonts w:eastAsia="Calibri"/>
        </w:rPr>
      </w:pPr>
      <w:r>
        <w:t>Na temelju svojeg podrijetla, širok raspon robe može imati koristi od povlaštenih carina prilikom uvoza u Europsku uniju. Osim toga, primjena mjera politike o nepovlaštenom trgovanju temelji se na nepovlaštenom podrijetlu robe. Kako bi se osigurala pravedna trgovina i pravilno funkcioniranje aranžmana o povlaštenom postupanju, mora se pratiti ispravna primjena pravila i načela na kojima se ti aranžmani temelje. Osim toga, kako bi se postiglo usklađivanje radnih metoda u državama članicama i drugim strankama na koje utječu pravila o podrijetlu, moraju se uložiti napori u cilju usuglašavanja tumačenja zakonodavstva i osiguravanja smjernica za dobre prakse.</w:t>
      </w:r>
    </w:p>
    <w:p w:rsidR="00476EE5" w:rsidRPr="00A448F4" w:rsidRDefault="00476EE5" w:rsidP="00476EE5">
      <w:pPr>
        <w:rPr>
          <w:rFonts w:eastAsia="Calibri"/>
        </w:rPr>
      </w:pPr>
      <w:r>
        <w:t>Izvoznici u zemljama korisnicama općeg sustava povlastica (OSP) i izvoznici u Uniji trebaju biti registrirani kod nadležnih tijela. To je potrebno kako bi im se omogućilo samostalno potvrđivanje podrijetla robe u okviru pravila o podrijetlu općeg sustava povlastica (OSP) Europske unije. Za realizaciju ovog projekta za 2018. potrebna je bliska suradnja s Norveškom, Švicarskom i Turskom kako bi se uveo sustav REX i nastavili integracija zemalja korisnica te obavješćivanje država članice o rezultatima.</w:t>
      </w:r>
    </w:p>
    <w:p w:rsidR="00476EE5" w:rsidRPr="00DF0165" w:rsidRDefault="00476EE5" w:rsidP="00476EE5">
      <w:pPr>
        <w:pStyle w:val="NumPar2"/>
        <w:rPr>
          <w:b/>
          <w:noProof/>
        </w:rPr>
      </w:pPr>
      <w:r>
        <w:rPr>
          <w:b/>
          <w:noProof/>
        </w:rPr>
        <w:t>Određivanje carinske vrijednosti</w:t>
      </w:r>
    </w:p>
    <w:p w:rsidR="00476EE5" w:rsidRPr="00A33FE2" w:rsidRDefault="00476EE5" w:rsidP="00476EE5">
      <w:pPr>
        <w:rPr>
          <w:rFonts w:eastAsia="Calibri"/>
        </w:rPr>
      </w:pPr>
      <w:r>
        <w:t xml:space="preserve">Većina carina i PDV-a izražava se kao postotak </w:t>
      </w:r>
      <w:r>
        <w:rPr>
          <w:b/>
        </w:rPr>
        <w:t>vrijednosti robe</w:t>
      </w:r>
      <w:r>
        <w:t xml:space="preserve"> koja se deklarira za uvoz. Važno je precizno mjerenje vrijednosti robe u svrhu:</w:t>
      </w:r>
    </w:p>
    <w:p w:rsidR="00476EE5" w:rsidRPr="00A33FE2" w:rsidRDefault="00476EE5" w:rsidP="00782113">
      <w:pPr>
        <w:pStyle w:val="Tiret0"/>
        <w:numPr>
          <w:ilvl w:val="0"/>
          <w:numId w:val="35"/>
        </w:numPr>
        <w:rPr>
          <w:rFonts w:eastAsia="Calibri"/>
        </w:rPr>
      </w:pPr>
      <w:r>
        <w:t>pravilnog ubiranja uvoznih carina i poreza,</w:t>
      </w:r>
    </w:p>
    <w:p w:rsidR="00476EE5" w:rsidRPr="00A33FE2" w:rsidRDefault="00476EE5" w:rsidP="00782113">
      <w:pPr>
        <w:pStyle w:val="Tiret0"/>
        <w:numPr>
          <w:ilvl w:val="0"/>
          <w:numId w:val="35"/>
        </w:numPr>
        <w:rPr>
          <w:rFonts w:eastAsia="Calibri"/>
        </w:rPr>
      </w:pPr>
      <w:r>
        <w:t>analize gospodarske i trgovačke politike,</w:t>
      </w:r>
    </w:p>
    <w:p w:rsidR="00476EE5" w:rsidRPr="00A33FE2" w:rsidRDefault="00476EE5" w:rsidP="00782113">
      <w:pPr>
        <w:pStyle w:val="Tiret0"/>
        <w:numPr>
          <w:ilvl w:val="0"/>
          <w:numId w:val="35"/>
        </w:numPr>
        <w:rPr>
          <w:rFonts w:eastAsia="Calibri"/>
        </w:rPr>
      </w:pPr>
      <w:r>
        <w:t xml:space="preserve">primjene mjera trgovinske politike i </w:t>
      </w:r>
    </w:p>
    <w:p w:rsidR="00476EE5" w:rsidRPr="00A33FE2" w:rsidRDefault="00476EE5" w:rsidP="00782113">
      <w:pPr>
        <w:pStyle w:val="Tiret0"/>
        <w:numPr>
          <w:ilvl w:val="0"/>
          <w:numId w:val="35"/>
        </w:numPr>
        <w:rPr>
          <w:rFonts w:eastAsia="Calibri"/>
        </w:rPr>
      </w:pPr>
      <w:r>
        <w:t>statistike uvoza i izvoza.</w:t>
      </w:r>
    </w:p>
    <w:p w:rsidR="00476EE5" w:rsidRDefault="00476EE5" w:rsidP="00476EE5">
      <w:pPr>
        <w:rPr>
          <w:rFonts w:eastAsia="Calibri"/>
        </w:rPr>
      </w:pPr>
      <w:r>
        <w:t>Zbog složenosti važećeg zakonodavstva kojim se uređuju pravila određivanja carinske vrijednosti, postoji rizik od pogrešne primjene, što utječe na vlastite resurse i primjenu zajedničke trgovinske politike. Pravilna primjena propisa o određivanju carinske vrijednosti mora osigurati jednako postupanje prema gospodarskim subjektima i građanima te osigurati zajednički pristup kontrolama povezanima s carinskom vrijednošću. Kako bi se to postiglo, potrebno je utvrditi probleme, provesti preporuke za poboljšanja i prilagoditi radne metode.</w:t>
      </w:r>
    </w:p>
    <w:p w:rsidR="00476EE5" w:rsidRPr="00DF0165" w:rsidRDefault="00476EE5" w:rsidP="00476EE5">
      <w:pPr>
        <w:pStyle w:val="NumPar2"/>
        <w:rPr>
          <w:b/>
          <w:noProof/>
        </w:rPr>
      </w:pPr>
      <w:r>
        <w:rPr>
          <w:b/>
          <w:noProof/>
        </w:rPr>
        <w:t>Carinski postupci</w:t>
      </w:r>
    </w:p>
    <w:p w:rsidR="00476EE5" w:rsidRPr="00A33FE2" w:rsidRDefault="00476EE5" w:rsidP="00476EE5">
      <w:pPr>
        <w:rPr>
          <w:rFonts w:eastAsia="Calibri"/>
        </w:rPr>
      </w:pPr>
      <w:r>
        <w:lastRenderedPageBreak/>
        <w:t xml:space="preserve">Pitanja povezana s primjenom različitih aspekata carinskih postupaka svakodnevno se pojavljuju u carinskim upravama. Ti carinski postupci uključuju tri glavna područja: puštanje u slobodan promet, posebne postupke i izvoz. </w:t>
      </w:r>
    </w:p>
    <w:p w:rsidR="00476EE5" w:rsidRPr="00A33FE2" w:rsidRDefault="00476EE5" w:rsidP="00476EE5">
      <w:pPr>
        <w:rPr>
          <w:rFonts w:eastAsia="Calibri"/>
        </w:rPr>
      </w:pPr>
      <w:r>
        <w:t>Posebni carinski postupci osmišljeni su kako bi se gospodarskim subjektima omogućilo obavljanje međunarodnog poslovanja na usuglašeniji i jednostavniji način. Neki od predmetnih postupaka podliježu odobrenjima. Pomoću Carinskog zakonika Unije (CZU-a) posebni su postupci u potpunosti prikazani u elektroničkom obliku i lakše ih je primjenjivati na području cijele Europske unije.</w:t>
      </w:r>
    </w:p>
    <w:p w:rsidR="00476EE5" w:rsidRPr="00A33FE2" w:rsidRDefault="00476EE5" w:rsidP="00476EE5">
      <w:pPr>
        <w:rPr>
          <w:rFonts w:eastAsia="Calibri"/>
        </w:rPr>
      </w:pPr>
      <w:r>
        <w:t xml:space="preserve">Od tih posebnih postupaka, postupak provoza omogućuje kretanje robe – bez plaćanja carine – pod carinskim nadzorom unutar Europske unije ili između Europske unije i trećih zemalja u okviru međunarodnih sporazuma. Konvencija o zajedničkom provoznom postupku (ZPP), koju je EU dogovorila s nekoliko svojih susjednih zemalja, usklađuje se s CZU-om. U postupanju prema državama koje nisu države članice EU-a Europska unija primjenjuje i druge aranžmane provoza, odnosno karnet TIR (Konvencija TIR iz 1975.), karnet ATA koji se upotrebljava kao dokument o provozu (Konvencija ATA i Istanbulska konvencija), Rajnski manifest (revidirana Mannheimska konvencija za plovidbu Rajnom iz 1868.), obrazac NATO-a 302 (Konvencija NATO-a iz 1951.) i provoz poštom (Svjetska poštanska unija). </w:t>
      </w:r>
    </w:p>
    <w:p w:rsidR="00476EE5" w:rsidRPr="00A33FE2" w:rsidRDefault="00476EE5" w:rsidP="00476EE5">
      <w:pPr>
        <w:rPr>
          <w:rFonts w:eastAsia="Calibri"/>
        </w:rPr>
      </w:pPr>
      <w:r>
        <w:t xml:space="preserve">Početak primjene Carinskog zakonika Unije 1. svibnja 2016. zahtijeva poduzimanje koraka u provedbi provoza u pogledu novih pravila. Carinski zakonik Unije osigurava mogućnost uporabe elektroničkih dokumenata o prijevozu u svrhe provoza i oni su u fazi razvoja. Usklađeni carinski robni manifest trenutno je isto tako u fazi razvoja u okviru Carinskog zakonika Unije, a njegov je cilj razmotriti zahtjeve trgovaca za uporabu manifesta za dokazivanje carinskog statusa robe Unije i obuhvatiti daljnja pojednostavljivanja u budućnosti. Osim toga, promijenila su se pravila o carinskim plombama i posebnim plombama i uvedena je mogućnost primjene norme ISO 17712. </w:t>
      </w:r>
    </w:p>
    <w:p w:rsidR="00476EE5" w:rsidRPr="00A33FE2" w:rsidRDefault="00476EE5" w:rsidP="00476EE5">
      <w:pPr>
        <w:rPr>
          <w:rFonts w:eastAsia="Calibri"/>
        </w:rPr>
      </w:pPr>
      <w:r>
        <w:t>Pravilna i jedinstvena provedba provoza u svakodnevnom poslovanju carinskih tijela podrazumijeva stvaranje najboljih uvjeta za dijeljenje informacija, stručnih znanja i najboljih praksi. Ključna je suradnja među nadležnim tijelima na međunarodnoj razini.</w:t>
      </w:r>
    </w:p>
    <w:p w:rsidR="00476EE5" w:rsidRDefault="00476EE5" w:rsidP="00476EE5">
      <w:pPr>
        <w:rPr>
          <w:rFonts w:eastAsia="Calibri"/>
        </w:rPr>
      </w:pPr>
      <w:r>
        <w:t>Osim provoza, drugi posebni postupci isto tako zahtijevaju pažnju i suradnju država članica kako bi se osigurala njihova ispravna i učinkovita provedba. Ti ostali postupci obuhvaćaju: carinsko skladištenje i slobodne zone, privremeni uvoz i uporabu u posebne svrhe, unutarnju i vanjsku proizvodnju.</w:t>
      </w:r>
    </w:p>
    <w:p w:rsidR="00476EE5" w:rsidRPr="00DF0165" w:rsidRDefault="00476EE5" w:rsidP="00476EE5">
      <w:pPr>
        <w:pStyle w:val="NumPar1"/>
        <w:rPr>
          <w:b/>
        </w:rPr>
      </w:pPr>
      <w:r>
        <w:rPr>
          <w:b/>
        </w:rPr>
        <w:t>ZAŠTITA GRAĐANA I OKOLIŠA, POVEĆANJE ZAŠTITE I SIGURNOSTI TE JAČANJE KONKURENTNOSTI PODUZEĆA U UNIJI</w:t>
      </w:r>
    </w:p>
    <w:p w:rsidR="00476EE5" w:rsidRPr="00A33FE2" w:rsidRDefault="00476EE5" w:rsidP="00476EE5">
      <w:pPr>
        <w:rPr>
          <w:rFonts w:eastAsia="Calibri"/>
        </w:rPr>
      </w:pPr>
      <w:r>
        <w:t xml:space="preserve">Carina je osim ubiranja prihoda odgovorna i za provedbu širokog raspona politika Europske unije i nacionalnih politika. </w:t>
      </w:r>
    </w:p>
    <w:p w:rsidR="00476EE5" w:rsidRPr="00A33FE2" w:rsidRDefault="00476EE5" w:rsidP="00476EE5">
      <w:pPr>
        <w:rPr>
          <w:rFonts w:eastAsia="Calibri"/>
        </w:rPr>
      </w:pPr>
      <w:r>
        <w:t>Uloga carine je u nekim slučajevima sprečavanje ulaska određene robe u područje carinske unije ili izlaska iz njega. U tu se svrhu u ovom naslovu razmatraju projekti kojima je cilj zaštititi ne samo građane i okoliš, već i interese europskih poduzeća mjerama za olakšavanje trgovine i osiguravanje sigurnosti lanca opskrbe. Projekti u okviru ovog poglavlja odnose se na cilj zaštite građana i okoliša te povećanja sigurnosti i zaštite ili na cilj jačanja konkurentnosti poduzeća u Uniji. Po svojoj prirodi neki od projekata mogu biti namijenjeni postizanju oba cilja, kao što može posebice biti slučaj s pravima intelektualnog vlasništva.</w:t>
      </w:r>
    </w:p>
    <w:p w:rsidR="00476EE5" w:rsidRPr="00DF0165" w:rsidRDefault="00476EE5" w:rsidP="00476EE5">
      <w:pPr>
        <w:pStyle w:val="NumPar2"/>
        <w:rPr>
          <w:b/>
          <w:noProof/>
        </w:rPr>
      </w:pPr>
      <w:r>
        <w:rPr>
          <w:b/>
          <w:noProof/>
        </w:rPr>
        <w:t>Carinska tijela koja štite zdravlje, okoliš, kulturnu baštinu te osiguravaju zaštitu i sigurnost</w:t>
      </w:r>
    </w:p>
    <w:p w:rsidR="00476EE5" w:rsidRPr="00A33FE2" w:rsidRDefault="00476EE5" w:rsidP="00476EE5">
      <w:pPr>
        <w:keepNext/>
        <w:keepLines/>
        <w:rPr>
          <w:rFonts w:eastAsia="Calibri"/>
        </w:rPr>
      </w:pPr>
      <w:r>
        <w:lastRenderedPageBreak/>
        <w:t>Sveobuhvatan cilj ovog projekta je povećati zaštitu i sigurnost te zaštititi građane i okoliš provedbom politike i zakonodavstva Unije u sljedećim područjima:</w:t>
      </w:r>
    </w:p>
    <w:p w:rsidR="00476EE5" w:rsidRPr="00A33FE2" w:rsidRDefault="00476EE5" w:rsidP="00782113">
      <w:pPr>
        <w:pStyle w:val="Tiret0"/>
        <w:numPr>
          <w:ilvl w:val="0"/>
          <w:numId w:val="35"/>
        </w:numPr>
        <w:rPr>
          <w:rFonts w:eastAsia="Calibri"/>
        </w:rPr>
      </w:pPr>
      <w:r>
        <w:t xml:space="preserve">ljudsko zdravlje i sigurnost, </w:t>
      </w:r>
    </w:p>
    <w:p w:rsidR="00476EE5" w:rsidRPr="00A33FE2" w:rsidRDefault="00476EE5" w:rsidP="00782113">
      <w:pPr>
        <w:pStyle w:val="Tiret0"/>
        <w:numPr>
          <w:ilvl w:val="0"/>
          <w:numId w:val="35"/>
        </w:numPr>
        <w:rPr>
          <w:rFonts w:eastAsia="Calibri"/>
        </w:rPr>
      </w:pPr>
      <w:r>
        <w:t>zdravlje životinja,</w:t>
      </w:r>
    </w:p>
    <w:p w:rsidR="00476EE5" w:rsidRPr="00A33FE2" w:rsidRDefault="00476EE5" w:rsidP="00782113">
      <w:pPr>
        <w:pStyle w:val="Tiret0"/>
        <w:numPr>
          <w:ilvl w:val="0"/>
          <w:numId w:val="35"/>
        </w:numPr>
        <w:rPr>
          <w:rFonts w:eastAsia="Calibri"/>
        </w:rPr>
      </w:pPr>
      <w:r>
        <w:t>zdravlje biljaka,</w:t>
      </w:r>
    </w:p>
    <w:p w:rsidR="00476EE5" w:rsidRPr="00A33FE2" w:rsidRDefault="00476EE5" w:rsidP="00782113">
      <w:pPr>
        <w:pStyle w:val="Tiret0"/>
        <w:numPr>
          <w:ilvl w:val="0"/>
          <w:numId w:val="35"/>
        </w:numPr>
        <w:rPr>
          <w:rFonts w:eastAsia="Calibri"/>
        </w:rPr>
      </w:pPr>
      <w:r>
        <w:t xml:space="preserve">zaštita okoliša i klime, </w:t>
      </w:r>
    </w:p>
    <w:p w:rsidR="00476EE5" w:rsidRPr="00A33FE2" w:rsidRDefault="00476EE5" w:rsidP="00782113">
      <w:pPr>
        <w:pStyle w:val="Tiret0"/>
        <w:numPr>
          <w:ilvl w:val="0"/>
          <w:numId w:val="35"/>
        </w:numPr>
        <w:rPr>
          <w:rFonts w:eastAsia="Calibri"/>
        </w:rPr>
      </w:pPr>
      <w:r>
        <w:t>sigurnost i sukladnost proizvoda,</w:t>
      </w:r>
    </w:p>
    <w:p w:rsidR="00476EE5" w:rsidRPr="00A33FE2" w:rsidRDefault="00476EE5" w:rsidP="00782113">
      <w:pPr>
        <w:pStyle w:val="Tiret0"/>
        <w:numPr>
          <w:ilvl w:val="0"/>
          <w:numId w:val="35"/>
        </w:numPr>
        <w:rPr>
          <w:rFonts w:eastAsia="Calibri"/>
        </w:rPr>
      </w:pPr>
      <w:r>
        <w:t>ograničena i zabranjena roba, kontrolirane tvari itd.</w:t>
      </w:r>
    </w:p>
    <w:p w:rsidR="00476EE5" w:rsidRDefault="00476EE5" w:rsidP="00476EE5">
      <w:pPr>
        <w:rPr>
          <w:rFonts w:eastAsia="Calibri"/>
        </w:rPr>
      </w:pPr>
      <w:r>
        <w:t xml:space="preserve">Sprečavanje preusmjeravanja prekursora za droge, kontrola uvoza i izvoza kulturnog dobra i kontrola ulaska novca u EU ili izlaska iz njega isto su tako važni čimbenici u osiguranju </w:t>
      </w:r>
      <w:r>
        <w:rPr>
          <w:b/>
        </w:rPr>
        <w:t>sigurnosti i zaštite</w:t>
      </w:r>
      <w:r>
        <w:t>.</w:t>
      </w:r>
    </w:p>
    <w:p w:rsidR="00476EE5" w:rsidRDefault="00476EE5" w:rsidP="00476EE5">
      <w:pPr>
        <w:rPr>
          <w:rFonts w:eastAsia="Calibri"/>
        </w:rPr>
      </w:pPr>
      <w:r>
        <w:t xml:space="preserve">Potrošači, civilno društvo i nacionalna nadležna tijela zahtijevaju strože carinske provjere nefiskalnih aspekata, posebice u kontekstu povećanih problema u području sigurnosti protiv terorističkih napada i uzimajući u obzir Program sigurnosti EU-a. Iznimno je važno osigurati da carina pravilno provodi te nefiskalne propise. Kako bi se odgovorilo na probleme u pogledu provedbe nefiskalnih propisa upotrebljava se nekoliko alata: okupljanje stručnjaka iz svih država članica, razmjena najboljih praksi, uspostava smjernica o carinskim provjerama, stvaranje takozvanog „paketa instrumenata” za potporu sudjelovanju nacionalnih carinskih stručnjaka u raspravama o nefiskalnim propisima s ulogom za carine, informiranje poslovne zajednice i šire javnosti, osiguranje cjelovite i dosljedne primjene sustava TARIC u nefiskalnim područjima; praćenje slučajeva povrede nefiskalnih propisa upotrebom, primjerice, baze podataka o nadzoru (pod uvjetom da postoji jasna pravna osnova za uporabu i obradu osobnih podataka); osiguravanje i daljnje jačanje sigurnosti u kontekstu globalne sigurnosne politike EU-a i na međunarodnoj razini (npr. WCO, ICAO, bilateralna suradnja...). </w:t>
      </w:r>
    </w:p>
    <w:p w:rsidR="00476EE5" w:rsidRPr="005145EB" w:rsidRDefault="00476EE5" w:rsidP="00476EE5">
      <w:pPr>
        <w:rPr>
          <w:rFonts w:eastAsia="Calibri"/>
        </w:rPr>
      </w:pPr>
      <w:r>
        <w:t>Osim toga,</w:t>
      </w:r>
      <w:r>
        <w:rPr>
          <w:b/>
        </w:rPr>
        <w:t xml:space="preserve"> Stručna skupina na visokoj razini (HLEG)</w:t>
      </w:r>
      <w:r>
        <w:t xml:space="preserve"> </w:t>
      </w:r>
      <w:r>
        <w:rPr>
          <w:b/>
        </w:rPr>
        <w:t>za informacijske sustave i interoperabilnost</w:t>
      </w:r>
      <w:r>
        <w:rPr>
          <w:rStyle w:val="FootnoteReference"/>
        </w:rPr>
        <w:footnoteReference w:id="33"/>
      </w:r>
      <w:r>
        <w:rPr>
          <w:b/>
        </w:rPr>
        <w:t xml:space="preserve"> </w:t>
      </w:r>
      <w:r>
        <w:t xml:space="preserve">preporučuje da se razmotre </w:t>
      </w:r>
      <w:r>
        <w:rPr>
          <w:b/>
        </w:rPr>
        <w:t>moguća rješenja za postizanje veće interoperabilnosti carinskih sustava</w:t>
      </w:r>
      <w:r>
        <w:t xml:space="preserve">, uključujući predviđeni zajednički repozitorij unaprijed dostavljenih informacija o teretu u okviru reformiranog sustava kontrole uvoza, </w:t>
      </w:r>
      <w:r>
        <w:rPr>
          <w:b/>
        </w:rPr>
        <w:t>sa sustavima sigurnosti i upravljanja granicama</w:t>
      </w:r>
      <w:r>
        <w:t>, uključujući Schengenski informacijski sustav i podatke Europola.</w:t>
      </w:r>
    </w:p>
    <w:p w:rsidR="00476EE5" w:rsidRPr="00A33FE2" w:rsidRDefault="00476EE5" w:rsidP="00476EE5">
      <w:pPr>
        <w:rPr>
          <w:rFonts w:eastAsia="Calibri"/>
        </w:rPr>
      </w:pPr>
      <w:r>
        <w:t>U svojim zaključcima</w:t>
      </w:r>
      <w:r>
        <w:rPr>
          <w:rStyle w:val="FootnoteReference"/>
        </w:rPr>
        <w:footnoteReference w:id="34"/>
      </w:r>
      <w:r>
        <w:t xml:space="preserve"> o putu k unaprjeđenju razmjene informacija i osiguravanju interoperabilnosti informacijskih sustava EU-a, Vijeće je pozvalo Komisiju da nastavi razvijati sustav kontrole uvoza i provede </w:t>
      </w:r>
      <w:r>
        <w:rPr>
          <w:b/>
        </w:rPr>
        <w:t>studiju izvedivosti</w:t>
      </w:r>
      <w:r>
        <w:t xml:space="preserve"> kako bi se dodatno istražili tehnički, operativni i pravni aspekti interoperabilnosti sustava za upravljanje sigurnošću i granicama s carinskim sustavima te dostavi svoje zaključke za raspravu u Vijeću do kraja 2018.</w:t>
      </w:r>
    </w:p>
    <w:p w:rsidR="00476EE5" w:rsidRPr="00DF0165" w:rsidRDefault="00476EE5" w:rsidP="00476EE5">
      <w:pPr>
        <w:pStyle w:val="NumPar2"/>
        <w:rPr>
          <w:b/>
          <w:noProof/>
        </w:rPr>
      </w:pPr>
      <w:r>
        <w:rPr>
          <w:b/>
          <w:noProof/>
        </w:rPr>
        <w:t>Konkurentnost i olakšavanje trgovine</w:t>
      </w:r>
    </w:p>
    <w:p w:rsidR="00476EE5" w:rsidRPr="00A33FE2" w:rsidRDefault="00476EE5" w:rsidP="00476EE5">
      <w:pPr>
        <w:rPr>
          <w:rFonts w:eastAsia="Calibri"/>
        </w:rPr>
      </w:pPr>
      <w:r>
        <w:t xml:space="preserve">Europska unija mora biti jak gospodarski i trgovinski partner u svjetskom gospodarstvu. Carina ima važnu ulogu kako bi se osigurala konkurentnost europske trgovine smanjenjem opterećenja stavljenog na trgovinu u pogledu zakonodavstva povezanog s carinom i carinskim postupcima. Stoga bi se trebale razviti inicijative koje podupiru konkurentnost europskih tvrtki i olakšavaju zakonitu trgovinu u cilju pridonošenja pravilnom funkcioniranju i daljnjem razvoju carinske unije. </w:t>
      </w:r>
    </w:p>
    <w:p w:rsidR="00476EE5" w:rsidRPr="00A33FE2" w:rsidRDefault="00476EE5" w:rsidP="00476EE5">
      <w:pPr>
        <w:rPr>
          <w:rFonts w:eastAsia="Calibri"/>
        </w:rPr>
      </w:pPr>
      <w:r>
        <w:lastRenderedPageBreak/>
        <w:t xml:space="preserve">Status ovlaštenog gospodarskog subjekta koji je odobrila jedna država članica priznaju druge države članice i, u skladu sa sporazumima o uzajamnom priznavanju, ostale treće države. Potrebno je nastaviti redovito i stabilno praćenje u cilju daljnjeg jačanja pravilne provedbe i funkcioniranja Unijina programa za ovlaštene gospodarske subjekte (AEO), zajedno s dijeljenjem najboljih praksi i smjernica kako bi države članice održale jedinstvenu provedbu programa, posebice u kontekstu CZU-a i provedbe i primjene novog kriterija za AEO-e i u skladu s Okvirom normi SAFE WCO-a i njegovom revizijom standarda za AEO-e do 2018. </w:t>
      </w:r>
    </w:p>
    <w:p w:rsidR="00476EE5" w:rsidRPr="00A33FE2" w:rsidRDefault="00476EE5" w:rsidP="00476EE5">
      <w:pPr>
        <w:rPr>
          <w:rFonts w:eastAsia="Calibri"/>
        </w:rPr>
      </w:pPr>
      <w:r>
        <w:t>Iako se treba pristupiti rješavanju pojednostavljenja za AEO, potrebno je i utvrditi i iskoristiti potencijalne sinergije s ostalim državnim tijelima. Druge politike koje žele odijeliti klijente i priznati njihove dionike koji ispunjavaju kriterije mogle bi poželjeti iskoristiti iskustva stečena u programu za ovlaštene gospodarske subjekte. U bliskoj suradnji s državama članicama, službe Komisije trebaju osigurati da se, u bilo kojem trenutku kada se pojave slični zahtjevi, ulože napori kako bi se podržala suradnja i priznavanje sinergija u sličnim programima za gospodarske subjekte u skladu s propisima. Osim toga, potrebno je poduprijeti ocjenu usklađenosti europskih programa i programa trećih strana / zemalja koji ispunjavaju kriterije u svjetlu pripreme za sklapanje novih sporazuma o uzajamnom priznavanju.</w:t>
      </w:r>
    </w:p>
    <w:p w:rsidR="00476EE5" w:rsidRPr="00A33FE2" w:rsidRDefault="00476EE5" w:rsidP="00476EE5">
      <w:pPr>
        <w:rPr>
          <w:rFonts w:eastAsia="Calibri"/>
        </w:rPr>
      </w:pPr>
      <w:r>
        <w:t>Opseg pojednostavljene deklaracije nije se značajno promijenio u okviru Carinskog zakonika Unije. Međutim, pojavile su se promjene tijekom pripreme delegiranih i provedbenih akata za unos u evidenciju deklaranata, centralizirano carinjenje i samoprocjenu. Stoga su potrebne daljnje rasprave s carinskim upravama država članica o posebnim pitanjima koja se odnose na provedbu navedena tri pojednostavljenja.</w:t>
      </w:r>
    </w:p>
    <w:p w:rsidR="00476EE5" w:rsidRPr="00425F91" w:rsidRDefault="00476EE5" w:rsidP="00476EE5">
      <w:pPr>
        <w:rPr>
          <w:rFonts w:eastAsia="Calibri"/>
        </w:rPr>
      </w:pPr>
      <w:r>
        <w:t>Pristup na temelju sustava radna je metoda kojom carinske provjere prelaze s tradicionalne metodologije – na temelju kontrole pojedinačnih transakcija – na pristup na temelju sustava koji je usmjeren na sustave unutarnjih kontrola gospodarskih subjekata. Programom pristupa na temelju sustava treba nastaviti promicati i jačati razmjene informacija, rasprave o tehničkim revizijama pristupa na temelju sustava, dosljednosti i usklađivanja u državama članicama, razmjene praktičnih rješenja i rješenja za osposobljavanje te pružanja potpore državama članicama koje imaju manje iskustva. Pristup na temelju sustava dugoročno će pridonijeti i poštovanju carinskih propisa.</w:t>
      </w:r>
    </w:p>
    <w:p w:rsidR="00476EE5" w:rsidRPr="00A33FE2" w:rsidRDefault="00476EE5" w:rsidP="00476EE5">
      <w:pPr>
        <w:rPr>
          <w:rFonts w:eastAsia="Calibri"/>
        </w:rPr>
      </w:pPr>
      <w:r>
        <w:t>Centralizirano carinjenje omogućuje gospodarskim subjektima centraliziranje i integraciju računovodstvenih, logističkih i distribucijskih funkcija s naknadnim uštedama u upravnim i transakcijskim troškovima, čime se osigurava istinsko pojednostavljivanje. Štoviše, do uvođenja odgovarajućih elektroničkih sustava za centralizirano carinjenje (2021. – 2023.), aktualna jedinstvena odobrenja za pojednostavljene postupke, izdana prije 1. svibnja 2016., ostaju nepromijenjena i nadalje predstavljaju glavni instrument za pojednostavljivanje trgovine koji zaslužuje zajedničko razumijevanje i jedinstvenu primjenu.</w:t>
      </w:r>
    </w:p>
    <w:p w:rsidR="00476EE5" w:rsidRPr="00A33FE2" w:rsidRDefault="00476EE5" w:rsidP="00476EE5">
      <w:pPr>
        <w:rPr>
          <w:rFonts w:eastAsia="Calibri"/>
        </w:rPr>
      </w:pPr>
      <w:r>
        <w:t xml:space="preserve">CZU-om je predviđeno uvođenje elektroničkih sustava koji se temelje na usklađenim postupcima i sučeljima. U tom je kontekstu nov koncept portala za gospodarske subjekte EU-a proveden sa sustavom za carinske odluke, a, prema potrebi, uvest će se generički portal za gospodarske subjekte EU-a (koji se temelji na jedinstvenom mehanizmu upravljanja korisnicima i provjere njihove autentičnosti). U skladu s definicijom koju promiče Gospodarska komisija Ujedinjenih naroda za Europu (UNECE), koncept jedinstvenog prozora (SW) odnosi se na sredstvo koje omogućuje stranama koje sudjeluju u trgovini i prometu da podnesu standardizirane informacije i dokumente u jednoj točki ulaza kako bi ispunile sve regulatorne zahtjeve u pogledu uvoza, izvoza i provoza. Ako su informacije elektroničke, pojedini podatkovni elementi podnose se samo jednom. U praksi, sustavi jedinstvenog prozora koji su uvedeni širom svijeta nisu dosljedno slijedili navedenu definiciju i umjesto toga su zamišljeni kao veliki međuagencijski sustav(i) za suradnju koji olakšavaju i automatiziraju poslovne procese i razmjenu podataka u okviru međunarodne trgovine.  Okruženje jedinstvenog prozora </w:t>
      </w:r>
      <w:r>
        <w:lastRenderedPageBreak/>
        <w:t>Unije za carinu projekt je koji zahtijeva postupan i pragmatičan razvoj. Njegov uspjeh počiva na izgradnji povjerenja između uključenih službi, kao i na zajedničkoj viziji troškova i koristi. Ovisi i o udruživanju sredstava i znanja koji su dostupni u Komisiji i u državama članicama. Unutar Komisije važno je jasno definirati određene uloge i zadatke za uključene službe. Jedinstveni carinski prozor Unije trenutno obuhvaća automatsku provjeru tri veterinarska certifikata (CVED-A, CVED-P i CED) koju provode nacionalne carinske uprave. U automatsku provjeru uključit će se u 2018. još nekoliko drugih certifikata (FLEGT, CHED-PP i COI). Ostali certifikati su u fazi analize. U 2018. provodi se ocjena utjecaja zakonodavnog prijedloga koji će omogućiti razvoj okruženja jedinstvenog prozora EU-a za carinu.</w:t>
      </w:r>
    </w:p>
    <w:p w:rsidR="00476EE5" w:rsidRPr="00A33FE2" w:rsidRDefault="00476EE5" w:rsidP="00476EE5">
      <w:pPr>
        <w:rPr>
          <w:rFonts w:eastAsia="Calibri"/>
        </w:rPr>
      </w:pPr>
      <w:r>
        <w:t xml:space="preserve">Potrebni su dodatni napori za pojednostavljivanje formalnosti u pomorskom sektoru kako bi se olakšala trgovina i smanjilo administrativno opterećenje. </w:t>
      </w:r>
    </w:p>
    <w:p w:rsidR="00476EE5" w:rsidRPr="00A33FE2" w:rsidRDefault="00476EE5" w:rsidP="00476EE5">
      <w:pPr>
        <w:rPr>
          <w:rFonts w:eastAsia="Calibri"/>
        </w:rPr>
      </w:pPr>
      <w:r>
        <w:t>Poboljšanje usklađenosti gospodarskih subjekata zajednički je cilj carinske unije koji je potrebno postići na način koji je najučinkovitiji i najdjelotvorniji za carinu i za trgovinu.</w:t>
      </w:r>
    </w:p>
    <w:p w:rsidR="00476EE5" w:rsidRPr="00A33FE2" w:rsidRDefault="00476EE5" w:rsidP="00476EE5">
      <w:pPr>
        <w:rPr>
          <w:rFonts w:eastAsia="Calibri"/>
        </w:rPr>
      </w:pPr>
      <w:r>
        <w:t xml:space="preserve">Sukladnost se shvaća kao mjera u kojoj su osobe (tvrtke i pojedinci) ispunili svoje obveze koje primjenjuju i provode carinske uprave. Suvremene metode, temeljene na ponašanju u pogledu motiva i razlozima za ostvarivanje sukladnosti, barem su jednako važne kao i tradicionalne metode. Imati utjecaj na spremnost i sposobnost na usklađivanje povrh kontrola i kazni vrlo je korisno jer manje ometa i opterećuje resurse carine i zakonite trgovine. Treba unaprijediti znanja o upravljanju postupkom usklađivanja i dijeliti informacije i iskustva među državama članicama.  </w:t>
      </w:r>
    </w:p>
    <w:p w:rsidR="00476EE5" w:rsidRPr="00A33FE2" w:rsidRDefault="00476EE5" w:rsidP="00476EE5">
      <w:pPr>
        <w:rPr>
          <w:rFonts w:eastAsia="Calibri"/>
        </w:rPr>
      </w:pPr>
      <w:r>
        <w:t xml:space="preserve">U modelu carinskih podataka Unije (EUCDM) integrirani su svih zahtjevi u pogledu podataka koje gospodarski subjekti dostavljaju carinskim upravama država članica i njime se osigurava da su zahtjevi Unije u potpunosti usklađeni s međunarodnim normama kao što je model podataka Svjetske carinske organizacije. </w:t>
      </w:r>
    </w:p>
    <w:p w:rsidR="00476EE5" w:rsidRPr="00A33FE2" w:rsidRDefault="00476EE5" w:rsidP="00476EE5">
      <w:pPr>
        <w:rPr>
          <w:rFonts w:eastAsia="Calibri"/>
        </w:rPr>
      </w:pPr>
      <w:r>
        <w:t>To državama članicama i gospodarskim subjektima iz Unije osigurava najbolje rješenje za ponovnu uporabu informacija koje su već dostupne u komercijalnom i prometnom lancu opskrbe i omogućuje dodatnu prilagodbu na nacionalnoj razini kada se radi o područjima nacionalne nadležnosti, dok istovremeno pruža sredstva kojima se osigurava da se zahtjevi Unije provode na isti način u svim državama članicama.</w:t>
      </w:r>
    </w:p>
    <w:p w:rsidR="00476EE5" w:rsidRPr="00DF0165" w:rsidRDefault="00476EE5" w:rsidP="00476EE5">
      <w:pPr>
        <w:pStyle w:val="NumPar2"/>
        <w:rPr>
          <w:b/>
          <w:noProof/>
        </w:rPr>
      </w:pPr>
      <w:r>
        <w:rPr>
          <w:b/>
          <w:noProof/>
        </w:rPr>
        <w:t xml:space="preserve">Lanac opskrbe u globalnom kontekstu </w:t>
      </w:r>
    </w:p>
    <w:p w:rsidR="00476EE5" w:rsidRPr="00A33FE2" w:rsidRDefault="00476EE5" w:rsidP="00476EE5">
      <w:pPr>
        <w:rPr>
          <w:rFonts w:eastAsia="Calibri"/>
        </w:rPr>
      </w:pPr>
      <w:r>
        <w:t>Cilj jačanja sigurnosti lanca opskrbe između krajnjih točaka temeljen na višeslojnom upravljanju rizicima potječe iz Okvira normi za osiguravanje i olakšavanje globalne trgovine (SAFE) WCO-a. Kontrole koje se provode pri izvozu temelje se na zajedničkim pravilima ocjenjivanja rizika koja omogućuju carinama bolju usmjerenost na opasan promet na početku lanca opskrbe. Na taj se način mogu prepoznati sigurne pošiljke i zakonitoj trgovini osigurati prednosti za olakšavanje trgovine. I koncept pametnih i sigurnih trgovinskih putova (SSTL) vrlo je značajan za budući razvoj globalno umreženih carina (GNC) jer uspostavlja globalne norme za razmjenu carinskih informacija. Trenutačni pilot-projekti pametnih i sigurnih trgovinskih putova s carinskim upravama Kine i Hong Konga utiru put za buduću proširenu primjenu. Brza provedba automatizirane razmjene podataka od presudne je važnosti za postizanje ciljeva SSTL-a u skladu sa Strateškim okvirom za carinsku suradnju između EU-a i Kine potpisanim 2017.</w:t>
      </w:r>
    </w:p>
    <w:p w:rsidR="00476EE5" w:rsidRPr="003073E0" w:rsidRDefault="00476EE5" w:rsidP="00476EE5">
      <w:pPr>
        <w:rPr>
          <w:rFonts w:eastAsia="Calibri"/>
        </w:rPr>
      </w:pPr>
      <w:r>
        <w:t xml:space="preserve">Izazov u carinskoj uniji predstavlja i povećanje učinkovitosti i prilagodba brzom razvoju lanca opskrbe do kojeg je došlo uslijed utjecaja i učinaka širenja e-trgovine. </w:t>
      </w:r>
    </w:p>
    <w:p w:rsidR="00476EE5" w:rsidRPr="00DF0165" w:rsidRDefault="00476EE5" w:rsidP="00476EE5">
      <w:pPr>
        <w:pStyle w:val="NumPar2"/>
        <w:rPr>
          <w:b/>
          <w:noProof/>
        </w:rPr>
      </w:pPr>
      <w:r>
        <w:rPr>
          <w:b/>
          <w:noProof/>
        </w:rPr>
        <w:t>Carinska provedba prava intelektualnog vlasništva (IPR)</w:t>
      </w:r>
    </w:p>
    <w:p w:rsidR="00476EE5" w:rsidRPr="0074296D" w:rsidRDefault="00476EE5" w:rsidP="00476EE5">
      <w:pPr>
        <w:rPr>
          <w:rFonts w:eastAsia="Calibri"/>
        </w:rPr>
      </w:pPr>
      <w:r>
        <w:t xml:space="preserve">Temeljna komponenta sustava EU-a za provedbu prava intelektualnog vlasništva na granici je Uredba (EU) br. 608/2013 o carinskoj provedbi IPR-a. Njome se carinska tijela EU-a ovlašćuju </w:t>
      </w:r>
      <w:r>
        <w:lastRenderedPageBreak/>
        <w:t>da zadrže robu za koju se sumnja da krši IPR zaštićen na temelju propisa EU-a ili nacionalnih zakona o intelektualnom vlasništvu i koja je pod carinskim nadzorom.</w:t>
      </w:r>
    </w:p>
    <w:p w:rsidR="00476EE5" w:rsidRPr="0074296D" w:rsidRDefault="00476EE5" w:rsidP="00476EE5">
      <w:pPr>
        <w:rPr>
          <w:rFonts w:eastAsia="Calibri"/>
        </w:rPr>
      </w:pPr>
      <w:r>
        <w:t>Komisija je nedavno podnijela izvješće Europskom parlamentu i Vijeću o provedbi Uredbe (EU) br. 608/2013 (COM (2017) 233 od 15.5.2017.). Zaključak izvješća je da Uredba funkcionira na zadovoljavajući način, iako postoji potreba za jačanjem napora uloženih u određenim područjima (kao što je to posebno kod postupka u slučaju malih pošiljki).</w:t>
      </w:r>
    </w:p>
    <w:p w:rsidR="00476EE5" w:rsidRDefault="00476EE5" w:rsidP="00476EE5">
      <w:pPr>
        <w:rPr>
          <w:rFonts w:eastAsia="Calibri"/>
        </w:rPr>
      </w:pPr>
      <w:r>
        <w:t>Osim toga, Odlukom Vijeća od 10. prosinca 2012.</w:t>
      </w:r>
      <w:r>
        <w:rPr>
          <w:rStyle w:val="FootnoteReference"/>
        </w:rPr>
        <w:footnoteReference w:id="35"/>
      </w:r>
      <w:r>
        <w:t xml:space="preserve"> uspostavljen je akcijski plan Europske unije usmjeren na koordinaciju carinskih mjera država članica u borbi protiv povrede prava intelektualnog vlasništva na vanjskim granicama. Provedba akcijskog plana, predviđena za razdoblje 2013. – 2017. u fazi je ocjene i vjerojatno će dovesti do donošenja novog akcijskog plana. Komisija će u suradnji s državama članicama trebati i dalje raditi na programskim aktivnostima za provedbu mjera koje će trebati utvrditi u novom akcijskom planu kao što su razvijanje zajedničkih pristupa i jačanje suradnje s Kinom i Hong Kongom.  </w:t>
      </w:r>
    </w:p>
    <w:p w:rsidR="00476EE5" w:rsidRPr="00DF0165" w:rsidRDefault="00476EE5" w:rsidP="00476EE5">
      <w:pPr>
        <w:pStyle w:val="NumPar1"/>
        <w:rPr>
          <w:b/>
        </w:rPr>
      </w:pPr>
      <w:r>
        <w:rPr>
          <w:b/>
        </w:rPr>
        <w:t>POBOLJŠANJE ADMINISTRATIVNIH KAPACITETA CARINSKIH TIJELA</w:t>
      </w:r>
    </w:p>
    <w:p w:rsidR="00476EE5" w:rsidRPr="00A33FE2" w:rsidRDefault="00476EE5" w:rsidP="00476EE5">
      <w:pPr>
        <w:rPr>
          <w:rFonts w:eastAsia="Calibri"/>
        </w:rPr>
      </w:pPr>
      <w:r>
        <w:t>Kvaliteta javne uprave važan je pokretač konkurentnosti Europe. Suvremene, inovativne i učinkovite javne uprave ključne su za održavanje postupka oporavka i oslobađanje potencijala za rast Europe.</w:t>
      </w:r>
    </w:p>
    <w:p w:rsidR="00476EE5" w:rsidRPr="00A33FE2" w:rsidRDefault="00476EE5" w:rsidP="00476EE5">
      <w:pPr>
        <w:rPr>
          <w:rFonts w:eastAsia="Calibri"/>
        </w:rPr>
      </w:pPr>
      <w:r>
        <w:t xml:space="preserve">Ovim naslovom godišnjeg programa rada pokriveni su projekti politike carinske unije čiji je cilj osigurati funkcioniranje i rad europskih carinskih uprava na visokoj razini učinkovitosti i djelotvornosti uz potporu odgovarajućih upravnih struktura, postupaka, stručnog osoblja te suvremenih tehnologija i ideja. </w:t>
      </w:r>
    </w:p>
    <w:p w:rsidR="00476EE5" w:rsidRPr="00DF0165" w:rsidRDefault="00476EE5" w:rsidP="00476EE5">
      <w:pPr>
        <w:pStyle w:val="NumPar2"/>
        <w:rPr>
          <w:b/>
          <w:noProof/>
        </w:rPr>
      </w:pPr>
      <w:r>
        <w:rPr>
          <w:b/>
          <w:noProof/>
        </w:rPr>
        <w:t xml:space="preserve">Učinkovite i djelotvorne carinske uprave </w:t>
      </w:r>
    </w:p>
    <w:p w:rsidR="00476EE5" w:rsidRDefault="00476EE5" w:rsidP="00476EE5">
      <w:pPr>
        <w:rPr>
          <w:rFonts w:eastAsia="Calibri"/>
        </w:rPr>
      </w:pPr>
      <w:r>
        <w:t xml:space="preserve">Jedinstveno tržište može ispravno funkcionirati samo ako postoji jedinstvena primjena zajedničkih pravila. To znači da svih 28 carinskih uprava Europske unije mora djelovati kao jedno tijelo. S obzirom na financijsku krizu u Europskoj uniji, koja je dovela do proračunskih ograničenja i prisilila javne službe da postanu učinkovitije i djelotvornije, javila se potreba za ispitivanjem sadašnjih i mogućih budućih rješenja radi poboljšanja struktura u kojima se obavlja carinski posao, kao i </w:t>
      </w:r>
      <w:r>
        <w:rPr>
          <w:b/>
        </w:rPr>
        <w:t>poboljšanja učinkovitosti</w:t>
      </w:r>
      <w:r>
        <w:t xml:space="preserve"> carinske uprave u svim njezinim različitim ulogama u lancu opskrbe robom. Potrebno je poboljšati i funkcioniranje struktura i postupaka carinskih uprava, a nacionalne carinske uprave moraju ojačati administrativne kapacitete kako bi izvršile svoje složene zadatke. </w:t>
      </w:r>
    </w:p>
    <w:p w:rsidR="00476EE5" w:rsidRPr="003073E0" w:rsidRDefault="00476EE5" w:rsidP="00476EE5">
      <w:pPr>
        <w:rPr>
          <w:rFonts w:eastAsia="Calibri"/>
        </w:rPr>
      </w:pPr>
      <w:r>
        <w:t xml:space="preserve">Učinkovito </w:t>
      </w:r>
      <w:r>
        <w:rPr>
          <w:b/>
        </w:rPr>
        <w:t>obavješćivanje</w:t>
      </w:r>
      <w:r>
        <w:t xml:space="preserve"> unutar carinskih uprava i među njima te s drugim sudionicima kao što je Komisija bit će važan element u postizanju tih ciljeva.  Od posebne je važnosti obavješćivanje o novim mjerama i razvoju.</w:t>
      </w:r>
    </w:p>
    <w:p w:rsidR="00476EE5" w:rsidRPr="00DF0165" w:rsidRDefault="00476EE5" w:rsidP="00476EE5">
      <w:pPr>
        <w:pStyle w:val="NumPar2"/>
        <w:rPr>
          <w:b/>
          <w:noProof/>
        </w:rPr>
      </w:pPr>
      <w:r>
        <w:rPr>
          <w:b/>
          <w:noProof/>
        </w:rPr>
        <w:t>Osposobljavanje i izgradnja ljudskih kapaciteta</w:t>
      </w:r>
    </w:p>
    <w:p w:rsidR="00476EE5" w:rsidRDefault="00476EE5" w:rsidP="00476EE5">
      <w:pPr>
        <w:rPr>
          <w:rFonts w:eastAsia="Calibri"/>
        </w:rPr>
      </w:pPr>
      <w:r>
        <w:t xml:space="preserve">Osposobljavanje i razvoj kompetencija za carinske stručnjake u Europskoj uniji po prirodi su u skladu s posebnim nacionalnim konceptima obrazovanja i izgradnje ljudskih potencijala pojedinačne nacionalne carinske uprave i zbog toga su vrlo rascjepkani širom Europske unije. Iz perspektive EU-a, zbog posljedične razlike u učinkovitosti osoblja potrebna su zajednička referentna mjerila za osposobljavanje i izgradnju kapaciteta kako bi se uskladila razina znanja i vještina carinskih stručnjaka i tako pridonijelo dosljednijoj razini carinske učinkovitosti u cijeloj Europskoj uniji. </w:t>
      </w:r>
    </w:p>
    <w:p w:rsidR="00476EE5" w:rsidRPr="00C72C53" w:rsidRDefault="00476EE5" w:rsidP="00476EE5">
      <w:pPr>
        <w:rPr>
          <w:rFonts w:eastAsia="Calibri"/>
        </w:rPr>
      </w:pPr>
      <w:r>
        <w:t xml:space="preserve">S obzirom na to da je poticanje obrazovanja i osposobljavanja osoblja iz javnog sektora danas priznato i u području carine kao bitan stup učinkovite i djelotvorne izgradnje administrativnih </w:t>
      </w:r>
      <w:r>
        <w:lastRenderedPageBreak/>
        <w:t xml:space="preserve">kapaciteta unutar EU-a, uspostavljen je višegodišnji akcijski plan osposobljavanja i razvoja osoblja carine EU-a u suradnji između Komisije i nacionalnih carinskih uprava koji će se provoditi od 2017. do 2020. Cilj je ovog akcijskog plana podržati optimizaciju trenutnog i budućeg kapaciteta za obrazovanje i učenje carinskih uprava Europske unije pružanjem okvira za infrastrukturu zajedničkog osposobljavanja i obrazovanja kojime se države članice podupiru radi osiguravanju da njihovo osoblje raspolaže skupovima vještina i znanja koji su im potrebni za pružanje optimalnih i ujednačenijih carinskih usluga i pripremu struke i njihovih uprava za buduće izazove s kojima se suočavaju carinske uprave. </w:t>
      </w:r>
    </w:p>
    <w:p w:rsidR="00476EE5" w:rsidRPr="00C72C53" w:rsidRDefault="00476EE5" w:rsidP="00476EE5">
      <w:pPr>
        <w:rPr>
          <w:rFonts w:eastAsia="Calibri"/>
        </w:rPr>
      </w:pPr>
      <w:r>
        <w:t>Carinski akcijski plan osposobljavanja EU-a (2017. – 2020.) usmjeren je na četiri ključna cilja:</w:t>
      </w:r>
    </w:p>
    <w:p w:rsidR="00476EE5" w:rsidRPr="00FD2529" w:rsidRDefault="00476EE5" w:rsidP="00782113">
      <w:pPr>
        <w:pStyle w:val="Point0number"/>
        <w:numPr>
          <w:ilvl w:val="0"/>
          <w:numId w:val="42"/>
        </w:numPr>
        <w:rPr>
          <w:rFonts w:eastAsia="Calibri"/>
        </w:rPr>
      </w:pPr>
      <w:r>
        <w:t>Pružanje referentnih standarda EU-a kroz europske okvire kompetencija za carinsku struku</w:t>
      </w:r>
    </w:p>
    <w:p w:rsidR="00476EE5" w:rsidRPr="00DF0165" w:rsidRDefault="00476EE5" w:rsidP="00476EE5">
      <w:pPr>
        <w:pStyle w:val="Point0number"/>
        <w:rPr>
          <w:rFonts w:eastAsia="Calibri"/>
        </w:rPr>
      </w:pPr>
      <w:r>
        <w:t>Podupiranje zajedničkih carinskih obrazovnih referentnih programa (strukovnih, akademskih, za vodeći položaj)</w:t>
      </w:r>
    </w:p>
    <w:p w:rsidR="00476EE5" w:rsidRPr="00DF0165" w:rsidRDefault="00476EE5" w:rsidP="00476EE5">
      <w:pPr>
        <w:pStyle w:val="Point0number"/>
        <w:rPr>
          <w:rFonts w:eastAsia="Calibri"/>
        </w:rPr>
      </w:pPr>
      <w:r>
        <w:t xml:space="preserve">Poticanje zajedničkog osposobljavanja i razvoja osoblja </w:t>
      </w:r>
    </w:p>
    <w:p w:rsidR="00476EE5" w:rsidRPr="00DF0165" w:rsidRDefault="00476EE5" w:rsidP="00476EE5">
      <w:pPr>
        <w:pStyle w:val="Point0number"/>
        <w:rPr>
          <w:rFonts w:eastAsia="Calibri"/>
        </w:rPr>
      </w:pPr>
      <w:r>
        <w:t xml:space="preserve">Jačanje zajedničke infrastrukture za osposobljavanje, umrežavanje i komunikaciju </w:t>
      </w:r>
    </w:p>
    <w:p w:rsidR="00476EE5" w:rsidRPr="00C72C53" w:rsidRDefault="00476EE5" w:rsidP="00476EE5">
      <w:pPr>
        <w:rPr>
          <w:rFonts w:eastAsia="Calibri"/>
        </w:rPr>
      </w:pPr>
      <w:r>
        <w:t xml:space="preserve">U okviru tog područja primjene, plan osposobljavanja EU-a usmjeren je na razvoj koncepata integriranog osposobljavanja i izgradnje učinkovitosti osoblja za carinske uprave EU-a i za gospodarske subjekte koji rade s carinom. Dodatna potpora tome bit će razvoj odgovarajućih i inovativnih rješenja za potporu osposobljavanju (e-učenje / e-knjige / internetski seminari...) kako bi se podržala dosljedna provedba zakonodavnih i operativnih carinskih aktivnosti u cijelom EU-u na učinkovit i djelotvoran način. </w:t>
      </w:r>
    </w:p>
    <w:p w:rsidR="00476EE5" w:rsidRPr="00C72C53" w:rsidRDefault="00476EE5" w:rsidP="00476EE5">
      <w:pPr>
        <w:rPr>
          <w:rFonts w:eastAsia="Calibri"/>
        </w:rPr>
      </w:pPr>
      <w:r>
        <w:t>Prioritetna potpora osposobljavanju u 2018. godini namijenjena je područjima carine koja su naznačena (u okviru određenih predmetnih projekata) u ovom dokumentu i za koja je potrebna daljnja usklađenost u području učinkovitosti carinskog osoblja, potpori provedbe novog ili izmijenjenog zakonodavstva Unije ili većoj potrebi za razmjenom nacionalnih najboljih praksi i alata na razini EU-a.</w:t>
      </w:r>
    </w:p>
    <w:p w:rsidR="00476EE5" w:rsidRPr="00DF0165" w:rsidRDefault="00476EE5" w:rsidP="00476EE5">
      <w:pPr>
        <w:pStyle w:val="NumPar2"/>
        <w:rPr>
          <w:b/>
          <w:noProof/>
        </w:rPr>
      </w:pPr>
      <w:r>
        <w:rPr>
          <w:b/>
          <w:noProof/>
        </w:rPr>
        <w:t xml:space="preserve">Operativni postupci i metode rada </w:t>
      </w:r>
    </w:p>
    <w:p w:rsidR="00476EE5" w:rsidRPr="00A33FE2" w:rsidRDefault="00476EE5" w:rsidP="00476EE5">
      <w:pPr>
        <w:rPr>
          <w:rFonts w:eastAsia="Calibri"/>
        </w:rPr>
      </w:pPr>
      <w:r>
        <w:t xml:space="preserve">Zajedničko razumijevanje zakonskih zahtjeva i usklađena primjena </w:t>
      </w:r>
      <w:r>
        <w:rPr>
          <w:b/>
        </w:rPr>
        <w:t>radnih metoda u operativnim postupcima i funkcijama carinskog nadzora</w:t>
      </w:r>
      <w:r>
        <w:t xml:space="preserve"> zahtijevaju intenzivnu i sustavnu suradnju, razmjenu informacija i dijeljenje dobrih praksi među operativnim carinskim službenicima. To uključuje sve operativne funkcije carinskih tijela, uključujući nadzor robe na vanjskim granicama (morski/plovni, kopneni i zračni putovi) i unutarnjem području. </w:t>
      </w:r>
    </w:p>
    <w:p w:rsidR="00476EE5" w:rsidRDefault="00476EE5" w:rsidP="00476EE5">
      <w:pPr>
        <w:rPr>
          <w:rFonts w:eastAsia="Calibri"/>
        </w:rPr>
      </w:pPr>
      <w:r>
        <w:rPr>
          <w:b/>
        </w:rPr>
        <w:t>Suvremene tehnologije i koncepti</w:t>
      </w:r>
      <w:r>
        <w:t xml:space="preserve"> carini mogu olakšati obavljanje svakodnevnih zadataka, a uporaba tehnologija za otkrivanje ima važnu ulogu kako bi carine Unije mogle ispuniti svoje strateške izazove u odnosu na učinkovito upravljanje povezanim rizicima s dostupnim resursima i održati pravilnu ravnotežu između carinskih provjera i olakšavanja zakonite trgovine. </w:t>
      </w:r>
    </w:p>
    <w:p w:rsidR="00476EE5" w:rsidRPr="00A33FE2" w:rsidRDefault="00476EE5" w:rsidP="00476EE5">
      <w:pPr>
        <w:rPr>
          <w:rFonts w:eastAsia="Calibri"/>
        </w:rPr>
      </w:pPr>
      <w:r>
        <w:t>Kontaktne skupine (RALFH, ODYSSUD, ICARUS i Kontaktna skupina za kopnenu granicu)</w:t>
      </w:r>
      <w:r>
        <w:rPr>
          <w:i/>
        </w:rPr>
        <w:t xml:space="preserve"> </w:t>
      </w:r>
      <w:r>
        <w:t>nastavit će pružati potporu državama članicama u razmjeni iskustava i znanja o prometu, prijetnjama, resursima, novim pitanjima i dobrim praksama za carinski nadzor.</w:t>
      </w:r>
    </w:p>
    <w:p w:rsidR="00476EE5" w:rsidRDefault="00476EE5" w:rsidP="00476EE5">
      <w:pPr>
        <w:rPr>
          <w:rFonts w:eastAsia="Calibri"/>
        </w:rPr>
      </w:pPr>
      <w:r>
        <w:t>Potrebno je ojačati suradnju carine i drugih tijela i agencija za izvršavanje zakonodavstva, posebno onih koji su uključeni u upravljanje granicama.</w:t>
      </w:r>
    </w:p>
    <w:p w:rsidR="00476EE5" w:rsidRPr="00DF0165" w:rsidRDefault="00476EE5" w:rsidP="00476EE5">
      <w:pPr>
        <w:pStyle w:val="NumPar2"/>
        <w:rPr>
          <w:b/>
          <w:noProof/>
        </w:rPr>
      </w:pPr>
      <w:r>
        <w:rPr>
          <w:b/>
          <w:noProof/>
        </w:rPr>
        <w:t xml:space="preserve">Carinski laboratoriji Europske unije </w:t>
      </w:r>
    </w:p>
    <w:p w:rsidR="00476EE5" w:rsidRPr="00A33FE2" w:rsidRDefault="00476EE5" w:rsidP="00476EE5">
      <w:pPr>
        <w:rPr>
          <w:rFonts w:eastAsia="Calibri"/>
        </w:rPr>
      </w:pPr>
      <w:r>
        <w:t xml:space="preserve">Carinski laboratoriji Europske unije važan su alat za carinske i porezne uprave. Njihov je rad presudan u tradicionalnim područjima carina, trošarinama i poljoprivrednoj politici kao što su </w:t>
      </w:r>
      <w:r>
        <w:lastRenderedPageBreak/>
        <w:t xml:space="preserve">analize radi utvrđivanja tarifnog razvrstavanja, visine carina i drugih poreza. Međutim, tijekom vremena i njihova se uloga promijenila zajedno s promjenama u trgovinskom okruženju. Stoga carinski laboratoriji sada imaju važnu ulogu u drugim aktivnostima, poput borbe protiv prijevara, utvrđivanja autentičnosti i podrijetla proizvoda, otkrivanja nezakonitog uvoza poput uvoza narkotika, prekursora za droge i nepoznatih psihotropnih tvari, zaštite potrošača od opasnih tvari ili onečišćene hrane, zaštite okoliša i ugroženih vrsta. </w:t>
      </w:r>
    </w:p>
    <w:p w:rsidR="00476EE5" w:rsidRPr="00A33FE2" w:rsidRDefault="00476EE5" w:rsidP="00476EE5">
      <w:pPr>
        <w:rPr>
          <w:rFonts w:eastAsia="Calibri"/>
        </w:rPr>
      </w:pPr>
      <w:r>
        <w:t>Carinski laboratoriji Europske unije zajedno koordiniraju svoje aktivnosti, prikupljaju resurse i međusobno dijele stečene stručnosti i znanja. To zahtijeva umrežavanje (na razini Europske unije i svijeta), provođenje usporednih analiza, ažuriranje baza podataka, suradnju s drugim dionicima i informacijske inicijative.</w:t>
      </w:r>
      <w:r>
        <w:rPr>
          <w:rFonts w:ascii="Calibri" w:hAnsi="Calibri"/>
          <w:sz w:val="22"/>
        </w:rPr>
        <w:t xml:space="preserve"> </w:t>
      </w:r>
      <w:r>
        <w:t>Europska mreža carinskih laboratorija (CLEN) osigurava strukturu za koordinaciju carinskih laboratorija država članica. CLEN ima važnu ulogu u isporučivanju rezultata i usklađivanju stručnog znanja i razvoja politika. Bliska suradnja donosi prednosti dijeljenja tereta, bržu i opsežniju reakciju na prijevare, održavanje opreme i stručnog znanja čak i za rijetke i neuobičajene analize, široku i pravilnu primjenu politika Unije i potporu razvoju novih politika Unije, istovremeno omogućujući ekonomije razmjera.</w:t>
      </w:r>
    </w:p>
    <w:p w:rsidR="00476EE5" w:rsidRPr="00DF0165" w:rsidRDefault="00476EE5" w:rsidP="00476EE5">
      <w:pPr>
        <w:pStyle w:val="NumPar2"/>
        <w:rPr>
          <w:b/>
          <w:noProof/>
        </w:rPr>
      </w:pPr>
      <w:r>
        <w:rPr>
          <w:b/>
          <w:noProof/>
        </w:rPr>
        <w:t xml:space="preserve">Jačanje kapaciteta za informacijsku tehnologiju </w:t>
      </w:r>
    </w:p>
    <w:p w:rsidR="00476EE5" w:rsidRPr="00A33FE2" w:rsidRDefault="00476EE5" w:rsidP="00476EE5">
      <w:pPr>
        <w:rPr>
          <w:rFonts w:eastAsia="Calibri"/>
        </w:rPr>
      </w:pPr>
      <w:r>
        <w:t xml:space="preserve">Za provedbu carinske politike i elektroničkog carinskog okruženja Unije potrebno je osigurati </w:t>
      </w:r>
      <w:r>
        <w:rPr>
          <w:b/>
        </w:rPr>
        <w:t>razvoj, rad i održavanje za postojeće ili nove europske informacijske sustave (EIS)</w:t>
      </w:r>
      <w:r>
        <w:t>. Treba osigurati kontinuitet, cjelovitost i dostupnost IT sustava te njihovo korektivno održavanje i razvoj u skladu s poslovnim očekivanjima. U tom pogledu potrebno je osigurati neprestanu operativnu potporu postojećim transeuropskim carinskim informacijskim sustavima kako bi se carinski postupci izvršavali u što kraćem vremenu, što omogućuje kraće vrijeme carinjenja na granicama Europske unije.</w:t>
      </w:r>
    </w:p>
    <w:p w:rsidR="00476EE5" w:rsidRPr="00A33FE2" w:rsidRDefault="00476EE5" w:rsidP="00476EE5">
      <w:pPr>
        <w:rPr>
          <w:rFonts w:eastAsia="Calibri"/>
        </w:rPr>
      </w:pPr>
      <w:r>
        <w:t xml:space="preserve">Potrebno je osigurati postizanje cjelokupne kvalitete EIS-a unapređivanjem njihove zrelosti, učinkovitim upravljanjem projektima i pravodobnom isporukom unutar proračuna. Usluge moraju biti pružene u skladu s očekivanjima i u okviru metodologije TEMPO kako bi se ispunili sigurnosni zahtjevi. I dalje je potrebno podržavati i unapređivati primjenu standarda i najboljih praksi, uključujući one koje se odnose na sigurnosne aspekte razvoja, uvođenja i rada EIS-a.  </w:t>
      </w:r>
    </w:p>
    <w:p w:rsidR="00F8483C" w:rsidRDefault="00476EE5" w:rsidP="00476EE5">
      <w:pPr>
        <w:rPr>
          <w:rFonts w:eastAsia="Calibri"/>
        </w:rPr>
      </w:pPr>
      <w:r>
        <w:t xml:space="preserve">Nastavlja se i </w:t>
      </w:r>
      <w:r>
        <w:rPr>
          <w:b/>
        </w:rPr>
        <w:t>Strategija uporabe informacijskih tehnologija u okviru višegodišnjeg strateškog plana</w:t>
      </w:r>
      <w:r>
        <w:t>, što će rezultirati početkom rada novih IT sustava u okviru CZU-a. Inovativni pristupi suradnji između država članica te između država članica i Komisije jedno je od ključnih načela ove strategije.</w:t>
      </w:r>
    </w:p>
    <w:p w:rsidR="00472459" w:rsidRDefault="00472459" w:rsidP="00476EE5">
      <w:pPr>
        <w:sectPr w:rsidR="00472459" w:rsidSect="004F52E0">
          <w:headerReference w:type="even" r:id="rId20"/>
          <w:headerReference w:type="default" r:id="rId21"/>
          <w:footerReference w:type="even" r:id="rId22"/>
          <w:footerReference w:type="default" r:id="rId23"/>
          <w:headerReference w:type="first" r:id="rId24"/>
          <w:footerReference w:type="first" r:id="rId25"/>
          <w:pgSz w:w="11907" w:h="16839" w:code="9"/>
          <w:pgMar w:top="1134" w:right="1417" w:bottom="1134" w:left="1417" w:header="709" w:footer="709" w:gutter="0"/>
          <w:cols w:space="708"/>
          <w:docGrid w:linePitch="360"/>
        </w:sectPr>
      </w:pPr>
    </w:p>
    <w:p w:rsidR="00782113" w:rsidRPr="004F52E0" w:rsidRDefault="00782113" w:rsidP="00552443">
      <w:pPr>
        <w:pStyle w:val="Annexetitre"/>
        <w:jc w:val="both"/>
      </w:pPr>
    </w:p>
    <w:sectPr w:rsidR="00782113" w:rsidRPr="004F52E0" w:rsidSect="00472459">
      <w:headerReference w:type="even" r:id="rId26"/>
      <w:headerReference w:type="default" r:id="rId27"/>
      <w:footerReference w:type="even" r:id="rId28"/>
      <w:footerReference w:type="default" r:id="rId29"/>
      <w:headerReference w:type="first" r:id="rId30"/>
      <w:footerReference w:type="first" r:id="rId31"/>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B6" w:rsidRDefault="007C5FB6" w:rsidP="00636E95">
      <w:pPr>
        <w:spacing w:before="0" w:after="0"/>
      </w:pPr>
      <w:r>
        <w:separator/>
      </w:r>
    </w:p>
  </w:endnote>
  <w:endnote w:type="continuationSeparator" w:id="0">
    <w:p w:rsidR="007C5FB6" w:rsidRDefault="007C5FB6" w:rsidP="00636E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22198"/>
      <w:docPartObj>
        <w:docPartGallery w:val="Page Numbers (Bottom of Page)"/>
        <w:docPartUnique/>
      </w:docPartObj>
    </w:sdtPr>
    <w:sdtEndPr>
      <w:rPr>
        <w:noProof/>
      </w:rPr>
    </w:sdtEndPr>
    <w:sdtContent>
      <w:p w:rsidR="00A375E3" w:rsidRPr="00BE62EF" w:rsidRDefault="00A375E3" w:rsidP="00BE62EF">
        <w:pPr>
          <w:pStyle w:val="Footer"/>
          <w:jc w:val="center"/>
        </w:pPr>
        <w:r>
          <w:fldChar w:fldCharType="begin"/>
        </w:r>
        <w:r>
          <w:instrText xml:space="preserve"> PAGE   \* MERGEFORMAT </w:instrText>
        </w:r>
        <w:r>
          <w:fldChar w:fldCharType="separate"/>
        </w:r>
        <w:r w:rsidR="00B2471D">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Footer"/>
    </w:pPr>
  </w:p>
  <w:p w:rsidR="00A375E3" w:rsidRDefault="00A375E3"/>
  <w:p w:rsidR="00A375E3" w:rsidRDefault="00A375E3"/>
  <w:p w:rsidR="00A375E3" w:rsidRDefault="00A375E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95758"/>
      <w:docPartObj>
        <w:docPartGallery w:val="Page Numbers (Bottom of Page)"/>
        <w:docPartUnique/>
      </w:docPartObj>
    </w:sdtPr>
    <w:sdtEndPr>
      <w:rPr>
        <w:noProof/>
      </w:rPr>
    </w:sdtEndPr>
    <w:sdtContent>
      <w:p w:rsidR="00A375E3" w:rsidRDefault="00A375E3">
        <w:pPr>
          <w:pStyle w:val="Footer"/>
          <w:jc w:val="center"/>
        </w:pPr>
        <w:r>
          <w:fldChar w:fldCharType="begin"/>
        </w:r>
        <w:r>
          <w:instrText xml:space="preserve"> PAGE   \* MERGEFORMAT </w:instrText>
        </w:r>
        <w:r>
          <w:fldChar w:fldCharType="separate"/>
        </w:r>
        <w:r w:rsidR="00B2471D">
          <w:rPr>
            <w:noProof/>
          </w:rPr>
          <w:t>36</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rsidP="00BB0E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Footer"/>
    </w:pPr>
  </w:p>
  <w:p w:rsidR="00A375E3" w:rsidRDefault="00A375E3"/>
  <w:p w:rsidR="00A375E3" w:rsidRDefault="00A375E3"/>
  <w:p w:rsidR="00A375E3" w:rsidRDefault="00A375E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77771"/>
      <w:docPartObj>
        <w:docPartGallery w:val="Page Numbers (Bottom of Page)"/>
        <w:docPartUnique/>
      </w:docPartObj>
    </w:sdtPr>
    <w:sdtEndPr>
      <w:rPr>
        <w:noProof/>
      </w:rPr>
    </w:sdtEndPr>
    <w:sdtContent>
      <w:p w:rsidR="00A375E3" w:rsidRDefault="00A375E3">
        <w:pPr>
          <w:pStyle w:val="Footer"/>
          <w:jc w:val="center"/>
        </w:pPr>
        <w:r>
          <w:fldChar w:fldCharType="begin"/>
        </w:r>
        <w:r>
          <w:instrText xml:space="preserve"> PAGE   \* MERGEFORMAT </w:instrText>
        </w:r>
        <w:r>
          <w:fldChar w:fldCharType="separate"/>
        </w:r>
        <w:r w:rsidR="00B2471D">
          <w:rPr>
            <w:noProof/>
          </w:rPr>
          <w:t>37</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rsidP="00BB0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B6" w:rsidRDefault="007C5FB6" w:rsidP="00636E95">
      <w:pPr>
        <w:spacing w:before="0" w:after="0"/>
      </w:pPr>
      <w:r>
        <w:separator/>
      </w:r>
    </w:p>
  </w:footnote>
  <w:footnote w:type="continuationSeparator" w:id="0">
    <w:p w:rsidR="007C5FB6" w:rsidRDefault="007C5FB6" w:rsidP="00636E95">
      <w:pPr>
        <w:spacing w:before="0" w:after="0"/>
      </w:pPr>
      <w:r>
        <w:continuationSeparator/>
      </w:r>
    </w:p>
  </w:footnote>
  <w:footnote w:id="1">
    <w:p w:rsidR="00A375E3" w:rsidRDefault="00A375E3" w:rsidP="00476EE5">
      <w:pPr>
        <w:pStyle w:val="FootnoteText"/>
      </w:pPr>
      <w:r>
        <w:rPr>
          <w:rStyle w:val="FootnoteReference"/>
        </w:rPr>
        <w:footnoteRef/>
      </w:r>
      <w:r>
        <w:tab/>
        <w:t>Komunikacija Komisije Europskom parlamentu i Vijeću o razvoju carinske unije i upravljanju njome od 21. prosinca 2016. (COM 2016/813).</w:t>
      </w:r>
    </w:p>
  </w:footnote>
  <w:footnote w:id="2">
    <w:p w:rsidR="00A375E3" w:rsidRDefault="00A375E3" w:rsidP="00476EE5">
      <w:pPr>
        <w:pStyle w:val="FootnoteText"/>
      </w:pPr>
      <w:r>
        <w:rPr>
          <w:rStyle w:val="FootnoteReference"/>
        </w:rPr>
        <w:footnoteRef/>
      </w:r>
      <w:r>
        <w:tab/>
        <w:t>Ukupni iznos odobrenih sredstava može biti veći kada se upotrebljavaju predviđeni novčani doprinosi država kandidatkinja i potencijalnih država kandidatkinja koje sudjeluju u programu Carina 2020. Najviši procijenjeni iznos za 2018. je 860 000 EUR.</w:t>
      </w:r>
    </w:p>
  </w:footnote>
  <w:footnote w:id="3">
    <w:p w:rsidR="00A375E3" w:rsidRDefault="00A375E3" w:rsidP="00476EE5">
      <w:pPr>
        <w:pStyle w:val="FootnoteText"/>
      </w:pPr>
      <w:r>
        <w:rPr>
          <w:rStyle w:val="FootnoteReference"/>
        </w:rPr>
        <w:footnoteRef/>
      </w:r>
      <w:r>
        <w:tab/>
        <w:t>Korisnici bespovratnih sredstava bit će carinske uprave država članica i druge prihvatljive zemlje koje ispunjavaju uvjete za sudjelovanje navedene u članku 3. Uredbe (EU) br. 1294/2013, u okviru sporazuma o dodjeli bespovratnih sredstava za više korisnika.</w:t>
      </w:r>
    </w:p>
  </w:footnote>
  <w:footnote w:id="4">
    <w:p w:rsidR="00A375E3" w:rsidRPr="009538AE" w:rsidRDefault="00A375E3">
      <w:pPr>
        <w:pStyle w:val="FootnoteText"/>
      </w:pPr>
      <w:r>
        <w:rPr>
          <w:rStyle w:val="FootnoteReference"/>
        </w:rPr>
        <w:footnoteRef/>
      </w:r>
      <w:r>
        <w:tab/>
        <w:t>Delegirana uredba Komisije (EU) 2016/1611 оd 7. srpnja 2016. o reviziji ljestvice za službena putovanja dužnosnika i ostalih službenika Europske unije u državama članicama.</w:t>
      </w:r>
    </w:p>
  </w:footnote>
  <w:footnote w:id="5">
    <w:p w:rsidR="00A375E3" w:rsidRDefault="00A375E3" w:rsidP="00476EE5">
      <w:pPr>
        <w:pStyle w:val="FootnoteText"/>
      </w:pPr>
      <w:r>
        <w:rPr>
          <w:rStyle w:val="FootnoteReference"/>
        </w:rPr>
        <w:footnoteRef/>
      </w:r>
      <w:r>
        <w:tab/>
        <w:t>Korisnici bespovratnih sredstava bit će carinske uprave država članica i druge prihvatljive zemlje koje ispunjavaju uvjete za sudjelovanje navedene u članku 3. Uredbe (EU) br. 1294/2013, u okviru sporazuma o dodjeli bespovratnih sredstava za više korisnika.</w:t>
      </w:r>
    </w:p>
  </w:footnote>
  <w:footnote w:id="6">
    <w:p w:rsidR="00A375E3" w:rsidRPr="009538AE" w:rsidRDefault="00A375E3">
      <w:pPr>
        <w:pStyle w:val="FootnoteText"/>
      </w:pPr>
      <w:r>
        <w:rPr>
          <w:rStyle w:val="FootnoteReference"/>
        </w:rPr>
        <w:footnoteRef/>
      </w:r>
      <w:r>
        <w:tab/>
        <w:t>Delegirana uredba Komisije (EU) 2016/1611 оd 7. srpnja 2016. o reviziji ljestvice za službena putovanja dužnosnika i ostalih službenika Europske unije u državama članicama.</w:t>
      </w:r>
    </w:p>
  </w:footnote>
  <w:footnote w:id="7">
    <w:p w:rsidR="00A375E3" w:rsidRDefault="00A375E3" w:rsidP="00476EE5">
      <w:pPr>
        <w:pStyle w:val="FootnoteText"/>
      </w:pPr>
      <w:r>
        <w:rPr>
          <w:rStyle w:val="FootnoteReference"/>
        </w:rPr>
        <w:footnoteRef/>
      </w:r>
      <w:r>
        <w:tab/>
        <w:t>Korisnici bespovratnih sredstava bit će carinske uprave država članica i druge prihvatljive zemlje koje ispunjavaju uvjete za sudjelovanje navedene u članku 3. Uredbe (EU) br. 1294/2013, u okviru sporazuma o dodjeli bespovratnih sredstava za više korisnika.</w:t>
      </w:r>
    </w:p>
  </w:footnote>
  <w:footnote w:id="8">
    <w:p w:rsidR="00A375E3" w:rsidRPr="009538AE" w:rsidRDefault="00A375E3">
      <w:pPr>
        <w:pStyle w:val="FootnoteText"/>
      </w:pPr>
      <w:r>
        <w:rPr>
          <w:rStyle w:val="FootnoteReference"/>
        </w:rPr>
        <w:footnoteRef/>
      </w:r>
      <w:r>
        <w:tab/>
        <w:t>Delegirana uredba Komisije (EU) 2016/1611 оd 7. srpnja 2016. o reviziji ljestvice za službena putovanja dužnosnika i ostalih službenika Europske unije u državama članicama.</w:t>
      </w:r>
    </w:p>
  </w:footnote>
  <w:footnote w:id="9">
    <w:p w:rsidR="00A375E3" w:rsidRDefault="00A375E3" w:rsidP="00476EE5">
      <w:pPr>
        <w:pStyle w:val="FootnoteText"/>
      </w:pPr>
      <w:r>
        <w:rPr>
          <w:rStyle w:val="FootnoteReference"/>
        </w:rPr>
        <w:footnoteRef/>
      </w:r>
      <w:r>
        <w:tab/>
        <w:t>Korisnici bespovratnih sredstava bit će carinske uprave država članica i druge prihvatljive zemlje koje ispunjavaju uvjete za sudjelovanje navedene u članku 3. Uredbe (EU) br. 1294/2013, u okviru sporazuma o dodjeli bespovratnih sredstava za više korisnika.</w:t>
      </w:r>
    </w:p>
  </w:footnote>
  <w:footnote w:id="10">
    <w:p w:rsidR="00A375E3" w:rsidRPr="009538AE" w:rsidRDefault="00A375E3">
      <w:pPr>
        <w:pStyle w:val="FootnoteText"/>
      </w:pPr>
      <w:r>
        <w:rPr>
          <w:rStyle w:val="FootnoteReference"/>
        </w:rPr>
        <w:footnoteRef/>
      </w:r>
      <w:r>
        <w:tab/>
        <w:t>Delegirana uredba Komisije (EU) 2016/1611 оd 7. srpnja 2016. o reviziji ljestvice za službena putovanja dužnosnika i ostalih službenika Europske unije u državama članicama.</w:t>
      </w:r>
    </w:p>
  </w:footnote>
  <w:footnote w:id="11">
    <w:p w:rsidR="00A375E3" w:rsidRDefault="00A375E3" w:rsidP="00476EE5">
      <w:pPr>
        <w:pStyle w:val="FootnoteText"/>
      </w:pPr>
      <w:r>
        <w:rPr>
          <w:rStyle w:val="FootnoteReference"/>
        </w:rPr>
        <w:footnoteRef/>
      </w:r>
      <w:r>
        <w:tab/>
        <w:t>Korisnici bespovratnih sredstava bit će carinske uprave država članica i druge prihvatljive zemlje koje ispunjavaju uvjete za sudjelovanje navedene u članku 3. Uredbe (EU) br. 1294/2013, u okviru sporazuma o dodjeli bespovratnih sredstava za više korisnika.</w:t>
      </w:r>
    </w:p>
  </w:footnote>
  <w:footnote w:id="12">
    <w:p w:rsidR="00A375E3" w:rsidRPr="009538AE" w:rsidRDefault="00A375E3">
      <w:pPr>
        <w:pStyle w:val="FootnoteText"/>
      </w:pPr>
      <w:r>
        <w:rPr>
          <w:rStyle w:val="FootnoteReference"/>
        </w:rPr>
        <w:footnoteRef/>
      </w:r>
      <w:r>
        <w:tab/>
        <w:t>Delegirana uredba Komisije (EU) 2016/1611 оd 7. srpnja 2016. o reviziji ljestvice za službena putovanja dužnosnika i ostalih službenika Europske unije u državama članicama.</w:t>
      </w:r>
    </w:p>
  </w:footnote>
  <w:footnote w:id="13">
    <w:p w:rsidR="00F31AB7" w:rsidRDefault="00F31AB7" w:rsidP="00F31AB7">
      <w:pPr>
        <w:pStyle w:val="FootnoteText"/>
      </w:pPr>
      <w:r>
        <w:rPr>
          <w:rStyle w:val="FootnoteReference"/>
        </w:rPr>
        <w:footnoteRef/>
      </w:r>
      <w:r>
        <w:tab/>
        <w:t>Korisnici bespovratnih sredstava bit će carinske uprave država članica i druge prihvatljive zemlje koje ispunjavaju uvjete za sudjelovanje navedene u članku 3. Uredbe (EU) br. 1294/2013, u okviru sporazuma o dodjeli bespovratnih sredstava za više korisnika.</w:t>
      </w:r>
    </w:p>
  </w:footnote>
  <w:footnote w:id="14">
    <w:p w:rsidR="00F31AB7" w:rsidRPr="009538AE" w:rsidRDefault="00F31AB7" w:rsidP="00F31AB7">
      <w:pPr>
        <w:pStyle w:val="FootnoteText"/>
      </w:pPr>
      <w:r>
        <w:rPr>
          <w:rStyle w:val="FootnoteReference"/>
        </w:rPr>
        <w:footnoteRef/>
      </w:r>
      <w:r>
        <w:tab/>
        <w:t>Delegirana uredba Komisije (EU) 2016/1611 оd 7. srpnja 2016. o reviziji ljestvice za službena putovanja dužnosnika i ostalih službenika Europske unije u državama članicama.</w:t>
      </w:r>
    </w:p>
  </w:footnote>
  <w:footnote w:id="15">
    <w:p w:rsidR="00A375E3" w:rsidRDefault="00A375E3" w:rsidP="00476EE5">
      <w:pPr>
        <w:pStyle w:val="FootnoteText"/>
        <w:jc w:val="left"/>
      </w:pPr>
      <w:r>
        <w:rPr>
          <w:rStyle w:val="FootnoteReference"/>
        </w:rPr>
        <w:footnoteRef/>
      </w:r>
      <w:r>
        <w:tab/>
        <w:t>U ovaj je iznos uključena za 2018. zatražena isplata sredstava za IT na početku programa. Posebni ugovori obično se dijele s proračunskom linijom 14.03.01 Fiscalis 2020. Time će stvarna vrijednost posebnih ugovora biti viša.</w:t>
      </w:r>
    </w:p>
  </w:footnote>
  <w:footnote w:id="16">
    <w:p w:rsidR="00A375E3" w:rsidRDefault="00A375E3" w:rsidP="00476EE5">
      <w:pPr>
        <w:pStyle w:val="FootnoteText"/>
      </w:pPr>
      <w:r>
        <w:rPr>
          <w:rStyle w:val="FootnoteReference"/>
        </w:rPr>
        <w:footnoteRef/>
      </w:r>
      <w:r>
        <w:tab/>
        <w:t>Zajednička komunikacijska mreža / zajednički sustav sučelja.</w:t>
      </w:r>
    </w:p>
  </w:footnote>
  <w:footnote w:id="17">
    <w:p w:rsidR="00A375E3" w:rsidRDefault="00A375E3" w:rsidP="00476EE5">
      <w:pPr>
        <w:pStyle w:val="FootnoteText"/>
      </w:pPr>
      <w:r>
        <w:rPr>
          <w:rStyle w:val="FootnoteReference"/>
        </w:rPr>
        <w:footnoteRef/>
      </w:r>
      <w:r>
        <w:tab/>
        <w:t>Jedinstveno upravljanje korisnicima i digitalni potpis.</w:t>
      </w:r>
    </w:p>
  </w:footnote>
  <w:footnote w:id="18">
    <w:p w:rsidR="00A375E3" w:rsidRPr="00FA02FB" w:rsidRDefault="00A375E3" w:rsidP="00476EE5">
      <w:pPr>
        <w:pStyle w:val="FootnoteText"/>
        <w:ind w:left="709" w:hanging="709"/>
      </w:pPr>
      <w:r>
        <w:rPr>
          <w:rStyle w:val="FootnoteReference"/>
        </w:rPr>
        <w:footnoteRef/>
      </w:r>
      <w:r>
        <w:tab/>
        <w:t xml:space="preserve">Posebni ugovori obično se dijele s proračunskom linijom 14.03. 01 Fiscalis 2020 </w:t>
      </w:r>
    </w:p>
  </w:footnote>
  <w:footnote w:id="19">
    <w:p w:rsidR="00A375E3" w:rsidRDefault="00A375E3" w:rsidP="00476EE5">
      <w:pPr>
        <w:pStyle w:val="FootnoteText"/>
      </w:pPr>
      <w:r>
        <w:rPr>
          <w:rStyle w:val="FootnoteReference"/>
        </w:rPr>
        <w:footnoteRef/>
      </w:r>
      <w:r>
        <w:tab/>
        <w:t xml:space="preserve">Projektima zajedničkih aktivnosti u okviru programa Carina 2020. poštuju se temeljna prava kako su utvrđena u Povelji o temeljnim pravima Europske unije. </w:t>
      </w:r>
    </w:p>
  </w:footnote>
  <w:footnote w:id="20">
    <w:p w:rsidR="00A375E3" w:rsidRDefault="00A375E3" w:rsidP="00476EE5">
      <w:pPr>
        <w:pStyle w:val="FootnoteText"/>
      </w:pPr>
      <w:r>
        <w:rPr>
          <w:rStyle w:val="FootnoteReference"/>
        </w:rPr>
        <w:footnoteRef/>
      </w:r>
      <w:r>
        <w:tab/>
        <w:t>KOMUNIKACIJA KOMISIJE EUROPSKOM PARLAMENTU, VIJEĆU, EUROPSKOM GOSPODARSKOM I SOCIJALNOM ODBORU o stanju carinske unije (Bruxelles, 21.12.2012. COM(2012) 791 final).</w:t>
      </w:r>
    </w:p>
  </w:footnote>
  <w:footnote w:id="21">
    <w:p w:rsidR="00A375E3" w:rsidRDefault="00A375E3" w:rsidP="00476EE5">
      <w:pPr>
        <w:pStyle w:val="FootnoteText"/>
      </w:pPr>
      <w:r>
        <w:rPr>
          <w:rStyle w:val="FootnoteReference"/>
        </w:rPr>
        <w:footnoteRef/>
      </w:r>
      <w:r>
        <w:tab/>
        <w:t>ZAKLJUČCI VIJEĆA O REFORMI UPRAVLJANJA CARINSKOM UNIJOM EU-A (Bruxelles, 8. svibnja 2014. (OR. en) 9688/14 UD 136 ENFOCUSTOM 63).</w:t>
      </w:r>
    </w:p>
  </w:footnote>
  <w:footnote w:id="22">
    <w:p w:rsidR="00A375E3" w:rsidRDefault="00A375E3" w:rsidP="00476EE5">
      <w:pPr>
        <w:pStyle w:val="FootnoteText"/>
      </w:pPr>
      <w:r>
        <w:rPr>
          <w:rStyle w:val="FootnoteReference"/>
        </w:rPr>
        <w:footnoteRef/>
      </w:r>
      <w:r>
        <w:tab/>
        <w:t>Uredba (EZ) br. 952/2013 Europskog parlamenta i Vijeća od 9. listopada 2013. o Carinskom zakoniku Unije (SL L 269, 10.10.2013., str. 1.).</w:t>
      </w:r>
    </w:p>
  </w:footnote>
  <w:footnote w:id="23">
    <w:p w:rsidR="00A375E3" w:rsidRDefault="00A375E3" w:rsidP="00476EE5">
      <w:pPr>
        <w:pStyle w:val="FootnoteText"/>
      </w:pPr>
      <w:r>
        <w:rPr>
          <w:rStyle w:val="FootnoteReference"/>
        </w:rPr>
        <w:footnoteRef/>
      </w:r>
      <w:r>
        <w:tab/>
        <w:t>Delegirana uredba Komisije (EU) 2015/2446 od 28. srpnja 2015. o dopuni Uredbe (EU) br. 952/2013 Europskog parlamenta i Vijeća o detaljnim pravilima koja se odnose na pojedine odredbe Carinskog zakonika Unije (SL L 343, 29.12.2015., str. 1.).</w:t>
      </w:r>
    </w:p>
    <w:p w:rsidR="00A375E3" w:rsidRDefault="00A375E3" w:rsidP="00476EE5">
      <w:pPr>
        <w:pStyle w:val="FootnoteText"/>
        <w:ind w:firstLine="0"/>
      </w:pPr>
      <w:r>
        <w:t>Provedbena uredba Komisije (EU) 2015/2447 оd 24. studenoga 2015. o utvrđivanju detaljnih pravila za provedbu određenih odredbi Uredbe (EU) br. 952/2013 Europskog parlamenta i Vijeća o utvrđivanju Carinskog zakonika Unije (SL L 343, 29.12.2015., str. 558.).</w:t>
      </w:r>
    </w:p>
  </w:footnote>
  <w:footnote w:id="24">
    <w:p w:rsidR="00A375E3" w:rsidRDefault="00A375E3" w:rsidP="00476EE5">
      <w:pPr>
        <w:pStyle w:val="FootnoteText"/>
      </w:pPr>
      <w:r>
        <w:rPr>
          <w:rStyle w:val="FootnoteReference"/>
        </w:rPr>
        <w:footnoteRef/>
      </w:r>
      <w:r>
        <w:tab/>
        <w:t>Delegirana uredba Komisije (EU) 2016/341 od 17. prosinca 2015. o dopuni Uredbe (EU) br. 952/2013 Europskog parlamenta i Vijeća u pogledu prijelaznih pravila za određene odredbe Carinskog zakonika Unije dok odgovarajući elektronički sustavi još nisu operativni te o izmjeni Delegirane uredbe Komisije (EU) 2015/2446 (SL L 69, 15.3.2016., str. 1.).</w:t>
      </w:r>
    </w:p>
  </w:footnote>
  <w:footnote w:id="25">
    <w:p w:rsidR="00A375E3" w:rsidRDefault="00A375E3" w:rsidP="00476EE5">
      <w:pPr>
        <w:pStyle w:val="FootnoteText"/>
      </w:pPr>
      <w:r>
        <w:rPr>
          <w:rStyle w:val="FootnoteReference"/>
        </w:rPr>
        <w:footnoteRef/>
      </w:r>
      <w:r>
        <w:tab/>
        <w:t>Odluka br. 70/2008 Europskog parlamenta i Vijeća od 15. siječnja 2008. o okruženju bez papira</w:t>
      </w:r>
    </w:p>
    <w:p w:rsidR="00A375E3" w:rsidRDefault="00A375E3" w:rsidP="00476EE5">
      <w:pPr>
        <w:pStyle w:val="FootnoteText"/>
        <w:ind w:firstLine="0"/>
      </w:pPr>
      <w:r>
        <w:t>za carinu i trgovinu (SL L 23, 26.1.2008., str. 21.).</w:t>
      </w:r>
    </w:p>
  </w:footnote>
  <w:footnote w:id="26">
    <w:p w:rsidR="00A375E3" w:rsidRDefault="00A375E3" w:rsidP="00476EE5">
      <w:pPr>
        <w:pStyle w:val="FootnoteText"/>
      </w:pPr>
      <w:r>
        <w:rPr>
          <w:rStyle w:val="FootnoteReference"/>
        </w:rPr>
        <w:footnoteRef/>
      </w:r>
      <w:r>
        <w:tab/>
        <w:t>Zaključci Vijeća 8761/3/12, 18.6.2013.</w:t>
      </w:r>
    </w:p>
  </w:footnote>
  <w:footnote w:id="27">
    <w:p w:rsidR="00A375E3" w:rsidRDefault="00A375E3" w:rsidP="00476EE5">
      <w:pPr>
        <w:pStyle w:val="FootnoteText"/>
      </w:pPr>
      <w:r>
        <w:rPr>
          <w:rStyle w:val="FootnoteReference"/>
        </w:rPr>
        <w:footnoteRef/>
      </w:r>
      <w:r>
        <w:tab/>
        <w:t>Bruxelles, 21.8.2014. COM(2014) 527 final KOMUNIKACIJA KOMISIJE EUROPSKOM PARLAMENTU, VIJEĆU I EUROPSKOM GOSPODARSKOM I SOCIJALNOM ODBORU o Strategiji EU-a i Akcijskom planu za upravljanje rizicima u carinskim pitanjima: Rješavanje rizika, jačanje sigurnosti lanca opskrbe i olakšavanje trgovine (Bruxelles, 21.8.2014. COM(2014) 527 final).</w:t>
      </w:r>
    </w:p>
  </w:footnote>
  <w:footnote w:id="28">
    <w:p w:rsidR="00A375E3" w:rsidRDefault="00A375E3" w:rsidP="00476EE5">
      <w:pPr>
        <w:pStyle w:val="FootnoteText"/>
      </w:pPr>
      <w:r>
        <w:rPr>
          <w:rStyle w:val="FootnoteReference"/>
        </w:rPr>
        <w:footnoteRef/>
      </w:r>
      <w:r>
        <w:tab/>
        <w:t>Uredba (EU) 2016/1624 Europskog parlamenta i Vijeća od 14. rujna 2016. o europskoj graničnoj i obalnoj straži i o izmjeni Uredbe (EU) 2016/399 Europskog parlamenta i Vijeća te o stavljanju izvan snage Uredbe (EZ) br. 863/2007 Europskog parlamenta i Vijeća, Uredbe Vijeća (EZ) br. 2007/2004 i Odluke Vijeća 2005/267/EZ (SL L 251, 16.9.2016., str. 1.).</w:t>
      </w:r>
    </w:p>
  </w:footnote>
  <w:footnote w:id="29">
    <w:p w:rsidR="00A375E3" w:rsidRDefault="00A375E3" w:rsidP="00476EE5">
      <w:pPr>
        <w:pStyle w:val="FootnoteText"/>
      </w:pPr>
      <w:r>
        <w:rPr>
          <w:rStyle w:val="FootnoteReference"/>
        </w:rPr>
        <w:footnoteRef/>
      </w:r>
      <w:r>
        <w:tab/>
        <w:t>Na snagu će stupiti novi propisi o vlastitim sredstvima koji će omogućiti državama članicama da zadrže 20 % (umjesto 25 %) tradicionalnih vlastitih sredstava za pokrivanje troškova ubiranja. Ti će propisi stupiti na snagu nakon što države članice odobre odluku o vlastitim sredstvima u skladu sa svojim ustavnim zahtjevima. Primjenjivat će se retroaktivno od 1. siječnja 2014.</w:t>
      </w:r>
    </w:p>
  </w:footnote>
  <w:footnote w:id="30">
    <w:p w:rsidR="00A375E3" w:rsidRDefault="00A375E3" w:rsidP="00476EE5">
      <w:pPr>
        <w:pStyle w:val="FootnoteText"/>
      </w:pPr>
      <w:r>
        <w:rPr>
          <w:rStyle w:val="FootnoteReference"/>
        </w:rPr>
        <w:footnoteRef/>
      </w:r>
      <w:r>
        <w:tab/>
        <w:t>Komunikacija Komisije Europskom parlamentu, Vijeću i Europskom gospodarskom i socijalnom odboru o akcijskom planu o PDV-u, Put k jedinstvenom europskom području PDV-a – vrijeme je za donošenje odluka. (COM(2016) 148 final), 7.4.2016.</w:t>
      </w:r>
    </w:p>
  </w:footnote>
  <w:footnote w:id="31">
    <w:p w:rsidR="00A375E3" w:rsidRPr="00356B18" w:rsidRDefault="00A375E3" w:rsidP="00476EE5">
      <w:pPr>
        <w:pStyle w:val="FootnoteText"/>
      </w:pPr>
      <w:r>
        <w:rPr>
          <w:rStyle w:val="FootnoteReference"/>
        </w:rPr>
        <w:footnoteRef/>
      </w:r>
      <w:r>
        <w:tab/>
        <w:t>Posebno izvješće o rješavanju prijevara povezanih s PDV-om unutar Zajednice za 2015. godinu: Potreba za jačim djelovanjem.</w:t>
      </w:r>
    </w:p>
  </w:footnote>
  <w:footnote w:id="32">
    <w:p w:rsidR="00A375E3" w:rsidRPr="00BA58C5" w:rsidRDefault="00A375E3" w:rsidP="00476EE5">
      <w:pPr>
        <w:pStyle w:val="FootnoteText"/>
      </w:pPr>
      <w:r>
        <w:rPr>
          <w:rStyle w:val="FootnoteReference"/>
        </w:rPr>
        <w:footnoteRef/>
      </w:r>
      <w:r>
        <w:tab/>
        <w:t>Carinski postupak 4200 mehanizam je koji primjenjuje uvoznik u EU-u kako bi ostvario izuzeće od plaćanja PDV-a. Primjenjuje se kada se roba uvezena iz zemalja izvan EU-a u državu članicu prevozi u drugu državu članicu. U takvim se slučajevima PDV plaća u potonjoj – odredišnoj državi članici. Postoji opasnost da uvoz ostane u državi članici uvoza bez plaćanja PDV-a. Uvezena roba također se može trošiti u odredišnoj državi članici a da u njoj nije naplaćen PDV.</w:t>
      </w:r>
    </w:p>
  </w:footnote>
  <w:footnote w:id="33">
    <w:p w:rsidR="00A375E3" w:rsidRDefault="00A375E3" w:rsidP="00476EE5">
      <w:pPr>
        <w:pStyle w:val="FootnoteText"/>
      </w:pPr>
      <w:r>
        <w:rPr>
          <w:rStyle w:val="FootnoteReference"/>
        </w:rPr>
        <w:footnoteRef/>
      </w:r>
      <w:r>
        <w:tab/>
        <w:t>http://ec.europa.eu/transparency/regexpert/index.cfm?do=groupDetail.groupDetail&amp;groupID=3435</w:t>
      </w:r>
    </w:p>
  </w:footnote>
  <w:footnote w:id="34">
    <w:p w:rsidR="00A375E3" w:rsidRDefault="00A375E3" w:rsidP="00476EE5">
      <w:pPr>
        <w:pStyle w:val="FootnoteText"/>
      </w:pPr>
      <w:r>
        <w:rPr>
          <w:rStyle w:val="FootnoteReference"/>
        </w:rPr>
        <w:footnoteRef/>
      </w:r>
      <w:r>
        <w:tab/>
        <w:t>Zaključci Vijeća 9448/17, 9.6.2017.</w:t>
      </w:r>
    </w:p>
  </w:footnote>
  <w:footnote w:id="35">
    <w:p w:rsidR="00A375E3" w:rsidRPr="0074296D" w:rsidRDefault="00A375E3" w:rsidP="00476EE5">
      <w:pPr>
        <w:pStyle w:val="FootnoteText"/>
      </w:pPr>
      <w:r>
        <w:rPr>
          <w:rStyle w:val="FootnoteReference"/>
        </w:rPr>
        <w:footnoteRef/>
      </w:r>
      <w:r>
        <w:tab/>
        <w:t>Rezolucija o Carinskom akcijskom planu Europske unije za borbu protiv povrede prava intelektualnog vlasništva (2013. –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Pr="00C52312" w:rsidRDefault="00A375E3" w:rsidP="00C52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p w:rsidR="00A375E3" w:rsidRDefault="00A375E3"/>
  <w:p w:rsidR="00A375E3" w:rsidRDefault="00A375E3"/>
  <w:p w:rsidR="00A375E3" w:rsidRDefault="00A375E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Pr="004F52E0" w:rsidRDefault="00A375E3" w:rsidP="004F52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p w:rsidR="00A375E3" w:rsidRDefault="00A375E3"/>
  <w:p w:rsidR="00A375E3" w:rsidRDefault="00A375E3"/>
  <w:p w:rsidR="00A375E3" w:rsidRDefault="00A375E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Pr="004F52E0" w:rsidRDefault="00A375E3" w:rsidP="004F52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6E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4E6D9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74FC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80EF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50F9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9008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AA7A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4250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AAF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923B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C78B8"/>
    <w:multiLevelType w:val="multilevel"/>
    <w:tmpl w:val="41420D42"/>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F937BD7"/>
    <w:multiLevelType w:val="hybridMultilevel"/>
    <w:tmpl w:val="7B2CBCFE"/>
    <w:name w:val="LegalNumParListTemplate3"/>
    <w:lvl w:ilvl="0" w:tplc="1604D644">
      <w:start w:val="1"/>
      <w:numFmt w:val="decimal"/>
      <w:pStyle w:val="LegalNumPar"/>
      <w:lvlText w:val="%1."/>
      <w:lvlJc w:val="left"/>
      <w:pPr>
        <w:tabs>
          <w:tab w:val="num" w:pos="476"/>
        </w:tabs>
        <w:ind w:left="476" w:hanging="476"/>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B396F45"/>
    <w:multiLevelType w:val="singleLevel"/>
    <w:tmpl w:val="8BD62B1C"/>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5"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6E5C21E3"/>
    <w:multiLevelType w:val="singleLevel"/>
    <w:tmpl w:val="91AE4CCA"/>
    <w:name w:val="0.6048352"/>
    <w:lvl w:ilvl="0">
      <w:start w:val="1"/>
      <w:numFmt w:val="bullet"/>
      <w:pStyle w:val="ListDash3"/>
      <w:lvlText w:val="–"/>
      <w:lvlJc w:val="left"/>
      <w:pPr>
        <w:tabs>
          <w:tab w:val="num" w:pos="2199"/>
        </w:tabs>
        <w:ind w:left="2199" w:hanging="283"/>
      </w:pPr>
      <w:rPr>
        <w:rFonts w:ascii="Times New Roman" w:hAnsi="Times New Roman"/>
      </w:rPr>
    </w:lvl>
  </w:abstractNum>
  <w:abstractNum w:abstractNumId="28"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79C96D36"/>
    <w:multiLevelType w:val="multilevel"/>
    <w:tmpl w:val="BE983CE4"/>
    <w:lvl w:ilvl="0">
      <w:numFmt w:val="decimal"/>
      <w:pStyle w:val="ListNumber1"/>
      <w:lvlText w:val=""/>
      <w:lvlJc w:val="left"/>
    </w:lvl>
    <w:lvl w:ilvl="1">
      <w:numFmt w:val="decimal"/>
      <w:pStyle w:val="ListNumber1Level2"/>
      <w:lvlText w:val=""/>
      <w:lvlJc w:val="left"/>
    </w:lvl>
    <w:lvl w:ilvl="2">
      <w:numFmt w:val="decimal"/>
      <w:pStyle w:val="ListNumber1Level3"/>
      <w:lvlText w:val=""/>
      <w:lvlJc w:val="left"/>
    </w:lvl>
    <w:lvl w:ilvl="3">
      <w:numFmt w:val="decimal"/>
      <w:pStyle w:val="ListNumber1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AB33C2"/>
    <w:multiLevelType w:val="hybridMultilevel"/>
    <w:tmpl w:val="9FE0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9"/>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1"/>
  </w:num>
  <w:num w:numId="10">
    <w:abstractNumId w:val="27"/>
  </w:num>
  <w:num w:numId="11">
    <w:abstractNumId w:val="15"/>
  </w:num>
  <w:num w:numId="12">
    <w:abstractNumId w:val="26"/>
  </w:num>
  <w:num w:numId="13">
    <w:abstractNumId w:val="13"/>
  </w:num>
  <w:num w:numId="14">
    <w:abstractNumId w:val="16"/>
  </w:num>
  <w:num w:numId="15">
    <w:abstractNumId w:val="11"/>
  </w:num>
  <w:num w:numId="16">
    <w:abstractNumId w:val="25"/>
  </w:num>
  <w:num w:numId="17">
    <w:abstractNumId w:val="17"/>
  </w:num>
  <w:num w:numId="18">
    <w:abstractNumId w:val="21"/>
  </w:num>
  <w:num w:numId="19">
    <w:abstractNumId w:val="23"/>
  </w:num>
  <w:num w:numId="20">
    <w:abstractNumId w:val="12"/>
  </w:num>
  <w:num w:numId="21">
    <w:abstractNumId w:val="19"/>
  </w:num>
  <w:num w:numId="22">
    <w:abstractNumId w:val="31"/>
  </w:num>
  <w:num w:numId="23">
    <w:abstractNumId w:val="4"/>
  </w:num>
  <w:num w:numId="24">
    <w:abstractNumId w:val="0"/>
  </w:num>
  <w:num w:numId="25">
    <w:abstractNumId w:val="28"/>
  </w:num>
  <w:num w:numId="26">
    <w:abstractNumId w:val="22"/>
  </w:num>
  <w:num w:numId="27">
    <w:abstractNumId w:val="14"/>
  </w:num>
  <w:num w:numId="28">
    <w:abstractNumId w:val="20"/>
  </w:num>
  <w:num w:numId="29">
    <w:abstractNumId w:val="1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num>
  <w:num w:numId="32">
    <w:abstractNumId w:val="1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num>
  <w:num w:numId="35">
    <w:abstractNumId w:val="24"/>
  </w:num>
  <w:num w:numId="36">
    <w:abstractNumId w:val="1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Red"/>
    <w:docVar w:name="LW_ACCOMPAGNANT.CP" w:val="to the "/>
    <w:docVar w:name="LW_ANNEX_NBR_FIRST" w:val="1"/>
    <w:docVar w:name="LW_ANNEX_NBR_LAST" w:val="2"/>
    <w:docVar w:name="LW_CORRIGENDUM" w:val="&lt;UNUSED&gt;"/>
    <w:docVar w:name="LW_COVERPAGE_EXISTS" w:val="True"/>
    <w:docVar w:name="LW_COVERPAGE_GUID" w:val="BDF02C7A-C4AF-45EB-B2A9-D6D196C18D52"/>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concerning the adoption of the 2018 annual work programmes for the Customs 2020 and Fiscalis 2020 programmes_x000b_and_x000b_on the financing of the programmes for the expenditure to be committed by DG TAXUD on the 2018 budget lines 140201 and 140301"/>
    <w:docVar w:name="LW_PART_NBR" w:val="&lt;UNUSED&gt;"/>
    <w:docVar w:name="LW_PART_NBR_TOTAL" w:val="&lt;UNUSED&gt;"/>
    <w:docVar w:name="LW_REF.INST.NEW" w:val="&lt;EMPTY&gt;"/>
    <w:docVar w:name="LW_REF.INST.NEW_ADOPTED" w:val="draft"/>
    <w:docVar w:name="LW_REF.INST.NEW_TEXT" w:val="(2017)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ISSION IMPLEMENTING DECISION_x000b_"/>
  </w:docVars>
  <w:rsids>
    <w:rsidRoot w:val="00636E95"/>
    <w:rsid w:val="000034D0"/>
    <w:rsid w:val="000303B7"/>
    <w:rsid w:val="00032E0B"/>
    <w:rsid w:val="0003376F"/>
    <w:rsid w:val="00053397"/>
    <w:rsid w:val="00070793"/>
    <w:rsid w:val="0007095C"/>
    <w:rsid w:val="00070B8A"/>
    <w:rsid w:val="000731D8"/>
    <w:rsid w:val="00082328"/>
    <w:rsid w:val="0009533E"/>
    <w:rsid w:val="000D36A8"/>
    <w:rsid w:val="000D62F3"/>
    <w:rsid w:val="000F720D"/>
    <w:rsid w:val="00114F9A"/>
    <w:rsid w:val="00122CF1"/>
    <w:rsid w:val="00127066"/>
    <w:rsid w:val="00132FFD"/>
    <w:rsid w:val="00146383"/>
    <w:rsid w:val="00150FD2"/>
    <w:rsid w:val="0017129B"/>
    <w:rsid w:val="001A0E4D"/>
    <w:rsid w:val="001A1E5E"/>
    <w:rsid w:val="001F0BA0"/>
    <w:rsid w:val="00200A0C"/>
    <w:rsid w:val="002600B8"/>
    <w:rsid w:val="002A3E3F"/>
    <w:rsid w:val="002B5F1E"/>
    <w:rsid w:val="002D00BF"/>
    <w:rsid w:val="00306D70"/>
    <w:rsid w:val="00356C1D"/>
    <w:rsid w:val="00417D0D"/>
    <w:rsid w:val="00432A3D"/>
    <w:rsid w:val="00456F7D"/>
    <w:rsid w:val="00460F53"/>
    <w:rsid w:val="00472459"/>
    <w:rsid w:val="00476EE5"/>
    <w:rsid w:val="00487035"/>
    <w:rsid w:val="004B3770"/>
    <w:rsid w:val="004B5CA0"/>
    <w:rsid w:val="004C5FB0"/>
    <w:rsid w:val="004E6FE0"/>
    <w:rsid w:val="004F1864"/>
    <w:rsid w:val="004F52E0"/>
    <w:rsid w:val="00520293"/>
    <w:rsid w:val="005253C7"/>
    <w:rsid w:val="00552443"/>
    <w:rsid w:val="0058187D"/>
    <w:rsid w:val="005B7897"/>
    <w:rsid w:val="005B7ECC"/>
    <w:rsid w:val="005E41C3"/>
    <w:rsid w:val="005F4CE1"/>
    <w:rsid w:val="00605C27"/>
    <w:rsid w:val="006074F2"/>
    <w:rsid w:val="0062045D"/>
    <w:rsid w:val="00636E95"/>
    <w:rsid w:val="00640C1B"/>
    <w:rsid w:val="006414AF"/>
    <w:rsid w:val="00644A0F"/>
    <w:rsid w:val="00650522"/>
    <w:rsid w:val="006E3E3A"/>
    <w:rsid w:val="006F0D08"/>
    <w:rsid w:val="00730015"/>
    <w:rsid w:val="007527A7"/>
    <w:rsid w:val="00781C59"/>
    <w:rsid w:val="00782113"/>
    <w:rsid w:val="007902AF"/>
    <w:rsid w:val="007A4E72"/>
    <w:rsid w:val="007C5FB6"/>
    <w:rsid w:val="007F4619"/>
    <w:rsid w:val="007F75BB"/>
    <w:rsid w:val="008022C8"/>
    <w:rsid w:val="0081012F"/>
    <w:rsid w:val="008259A3"/>
    <w:rsid w:val="00830C6E"/>
    <w:rsid w:val="0084186F"/>
    <w:rsid w:val="00847C69"/>
    <w:rsid w:val="00927DCE"/>
    <w:rsid w:val="00945763"/>
    <w:rsid w:val="009538AE"/>
    <w:rsid w:val="009614EF"/>
    <w:rsid w:val="00970409"/>
    <w:rsid w:val="009720AB"/>
    <w:rsid w:val="00975E24"/>
    <w:rsid w:val="009879D6"/>
    <w:rsid w:val="00991A4F"/>
    <w:rsid w:val="009D7A24"/>
    <w:rsid w:val="00A0267D"/>
    <w:rsid w:val="00A375E3"/>
    <w:rsid w:val="00A63BC9"/>
    <w:rsid w:val="00A95020"/>
    <w:rsid w:val="00AA37BD"/>
    <w:rsid w:val="00AB3858"/>
    <w:rsid w:val="00B2471D"/>
    <w:rsid w:val="00B26999"/>
    <w:rsid w:val="00B32315"/>
    <w:rsid w:val="00B36501"/>
    <w:rsid w:val="00B375AE"/>
    <w:rsid w:val="00B70B8C"/>
    <w:rsid w:val="00BB0EF6"/>
    <w:rsid w:val="00BE144F"/>
    <w:rsid w:val="00BE62EF"/>
    <w:rsid w:val="00C0220A"/>
    <w:rsid w:val="00C04A99"/>
    <w:rsid w:val="00C52312"/>
    <w:rsid w:val="00C60D02"/>
    <w:rsid w:val="00C65786"/>
    <w:rsid w:val="00C72F8F"/>
    <w:rsid w:val="00C77DD5"/>
    <w:rsid w:val="00C85F10"/>
    <w:rsid w:val="00C93FD0"/>
    <w:rsid w:val="00C972EA"/>
    <w:rsid w:val="00CF1F20"/>
    <w:rsid w:val="00D02159"/>
    <w:rsid w:val="00D305F9"/>
    <w:rsid w:val="00D332BC"/>
    <w:rsid w:val="00D47C9D"/>
    <w:rsid w:val="00D61268"/>
    <w:rsid w:val="00D766D8"/>
    <w:rsid w:val="00D8149B"/>
    <w:rsid w:val="00DA0DA9"/>
    <w:rsid w:val="00DD281D"/>
    <w:rsid w:val="00DE6004"/>
    <w:rsid w:val="00E11716"/>
    <w:rsid w:val="00E37A25"/>
    <w:rsid w:val="00E66E86"/>
    <w:rsid w:val="00E746F2"/>
    <w:rsid w:val="00EA10A2"/>
    <w:rsid w:val="00EA34BF"/>
    <w:rsid w:val="00EA6ECF"/>
    <w:rsid w:val="00EE3308"/>
    <w:rsid w:val="00EF3DD4"/>
    <w:rsid w:val="00F31AB7"/>
    <w:rsid w:val="00F645B7"/>
    <w:rsid w:val="00F8483C"/>
    <w:rsid w:val="00FB6CD5"/>
    <w:rsid w:val="00FC507E"/>
    <w:rsid w:val="00FD2529"/>
    <w:rsid w:val="00FD2625"/>
    <w:rsid w:val="00FF5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44444C-444F-496F-B5B3-3D93F8BA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hr-HR" w:bidi="hr-H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E95"/>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uiPriority w:val="9"/>
    <w:qFormat/>
    <w:rsid w:val="00636E95"/>
    <w:pPr>
      <w:keepNext/>
      <w:numPr>
        <w:numId w:val="16"/>
      </w:numPr>
      <w:spacing w:before="360"/>
      <w:outlineLvl w:val="0"/>
    </w:pPr>
    <w:rPr>
      <w:b/>
      <w:bCs/>
      <w:smallCaps/>
      <w:szCs w:val="28"/>
    </w:rPr>
  </w:style>
  <w:style w:type="paragraph" w:styleId="Heading2">
    <w:name w:val="heading 2"/>
    <w:basedOn w:val="Normal"/>
    <w:next w:val="Text1"/>
    <w:link w:val="Heading2Char"/>
    <w:uiPriority w:val="9"/>
    <w:qFormat/>
    <w:rsid w:val="00636E95"/>
    <w:pPr>
      <w:keepNext/>
      <w:numPr>
        <w:ilvl w:val="1"/>
        <w:numId w:val="16"/>
      </w:numPr>
      <w:outlineLvl w:val="1"/>
    </w:pPr>
    <w:rPr>
      <w:b/>
      <w:bCs/>
      <w:szCs w:val="26"/>
    </w:rPr>
  </w:style>
  <w:style w:type="paragraph" w:styleId="Heading3">
    <w:name w:val="heading 3"/>
    <w:basedOn w:val="Normal"/>
    <w:next w:val="Text1"/>
    <w:link w:val="Heading3Char"/>
    <w:uiPriority w:val="9"/>
    <w:qFormat/>
    <w:rsid w:val="00636E95"/>
    <w:pPr>
      <w:keepNext/>
      <w:numPr>
        <w:ilvl w:val="2"/>
        <w:numId w:val="16"/>
      </w:numPr>
      <w:outlineLvl w:val="2"/>
    </w:pPr>
    <w:rPr>
      <w:bCs/>
      <w:i/>
    </w:rPr>
  </w:style>
  <w:style w:type="paragraph" w:styleId="Heading4">
    <w:name w:val="heading 4"/>
    <w:basedOn w:val="Normal"/>
    <w:next w:val="Text1"/>
    <w:link w:val="Heading4Char"/>
    <w:uiPriority w:val="9"/>
    <w:qFormat/>
    <w:rsid w:val="00636E95"/>
    <w:pPr>
      <w:keepNext/>
      <w:numPr>
        <w:ilvl w:val="3"/>
        <w:numId w:val="16"/>
      </w:numPr>
      <w:outlineLvl w:val="3"/>
    </w:pPr>
    <w:rPr>
      <w:bCs/>
      <w:iCs/>
    </w:rPr>
  </w:style>
  <w:style w:type="paragraph" w:styleId="Heading5">
    <w:name w:val="heading 5"/>
    <w:basedOn w:val="Normal"/>
    <w:next w:val="Normal"/>
    <w:link w:val="Heading5Char"/>
    <w:uiPriority w:val="9"/>
    <w:qFormat/>
    <w:rsid w:val="00636E95"/>
    <w:pPr>
      <w:spacing w:before="240" w:after="60"/>
      <w:ind w:firstLine="1134"/>
      <w:outlineLvl w:val="4"/>
    </w:pPr>
    <w:rPr>
      <w:bCs/>
      <w:iCs/>
      <w:szCs w:val="26"/>
    </w:rPr>
  </w:style>
  <w:style w:type="paragraph" w:styleId="Heading6">
    <w:name w:val="heading 6"/>
    <w:basedOn w:val="Normal"/>
    <w:next w:val="Normal"/>
    <w:link w:val="Heading6Char"/>
    <w:uiPriority w:val="9"/>
    <w:unhideWhenUsed/>
    <w:qFormat/>
    <w:rsid w:val="00636E95"/>
    <w:pPr>
      <w:spacing w:before="240" w:after="60" w:line="276" w:lineRule="auto"/>
      <w:ind w:left="1152" w:hanging="1152"/>
      <w:jc w:val="left"/>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636E95"/>
    <w:pPr>
      <w:spacing w:before="240" w:after="60" w:line="276" w:lineRule="auto"/>
      <w:ind w:left="1296" w:hanging="1296"/>
      <w:jc w:val="left"/>
      <w:outlineLvl w:val="6"/>
    </w:pPr>
    <w:rPr>
      <w:rFonts w:ascii="Calibri" w:hAnsi="Calibri"/>
      <w:szCs w:val="24"/>
    </w:rPr>
  </w:style>
  <w:style w:type="paragraph" w:styleId="Heading8">
    <w:name w:val="heading 8"/>
    <w:basedOn w:val="Normal"/>
    <w:next w:val="Normal"/>
    <w:link w:val="Heading8Char"/>
    <w:uiPriority w:val="9"/>
    <w:unhideWhenUsed/>
    <w:qFormat/>
    <w:rsid w:val="00636E95"/>
    <w:pPr>
      <w:spacing w:before="240" w:after="60" w:line="276" w:lineRule="auto"/>
      <w:ind w:left="1440" w:hanging="1440"/>
      <w:jc w:val="left"/>
      <w:outlineLvl w:val="7"/>
    </w:pPr>
    <w:rPr>
      <w:rFonts w:ascii="Calibri" w:hAnsi="Calibri"/>
      <w:i/>
      <w:iCs/>
      <w:szCs w:val="24"/>
    </w:rPr>
  </w:style>
  <w:style w:type="paragraph" w:styleId="Heading9">
    <w:name w:val="heading 9"/>
    <w:basedOn w:val="Normal"/>
    <w:next w:val="Normal"/>
    <w:link w:val="Heading9Char"/>
    <w:uiPriority w:val="9"/>
    <w:unhideWhenUsed/>
    <w:qFormat/>
    <w:rsid w:val="00636E95"/>
    <w:pPr>
      <w:spacing w:before="240" w:after="60" w:line="276" w:lineRule="auto"/>
      <w:ind w:left="1584" w:hanging="1584"/>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E95"/>
    <w:rPr>
      <w:rFonts w:ascii="Times New Roman" w:eastAsia="Times New Roman" w:hAnsi="Times New Roman" w:cs="Times New Roman"/>
      <w:b/>
      <w:bCs/>
      <w:smallCaps/>
      <w:sz w:val="24"/>
      <w:szCs w:val="28"/>
      <w:lang w:eastAsia="hr-HR"/>
    </w:rPr>
  </w:style>
  <w:style w:type="character" w:customStyle="1" w:styleId="Heading2Char">
    <w:name w:val="Heading 2 Char"/>
    <w:basedOn w:val="DefaultParagraphFont"/>
    <w:link w:val="Heading2"/>
    <w:uiPriority w:val="9"/>
    <w:rsid w:val="00636E95"/>
    <w:rPr>
      <w:rFonts w:ascii="Times New Roman" w:eastAsia="Times New Roman" w:hAnsi="Times New Roman" w:cs="Times New Roman"/>
      <w:b/>
      <w:bCs/>
      <w:sz w:val="24"/>
      <w:szCs w:val="26"/>
      <w:lang w:eastAsia="hr-HR"/>
    </w:rPr>
  </w:style>
  <w:style w:type="character" w:customStyle="1" w:styleId="Heading3Char">
    <w:name w:val="Heading 3 Char"/>
    <w:basedOn w:val="DefaultParagraphFont"/>
    <w:link w:val="Heading3"/>
    <w:uiPriority w:val="9"/>
    <w:rsid w:val="00636E95"/>
    <w:rPr>
      <w:rFonts w:ascii="Times New Roman" w:eastAsia="Times New Roman" w:hAnsi="Times New Roman" w:cs="Times New Roman"/>
      <w:bCs/>
      <w:i/>
      <w:sz w:val="24"/>
      <w:szCs w:val="20"/>
      <w:lang w:eastAsia="hr-HR"/>
    </w:rPr>
  </w:style>
  <w:style w:type="character" w:customStyle="1" w:styleId="Heading4Char">
    <w:name w:val="Heading 4 Char"/>
    <w:basedOn w:val="DefaultParagraphFont"/>
    <w:link w:val="Heading4"/>
    <w:uiPriority w:val="9"/>
    <w:rsid w:val="00636E95"/>
    <w:rPr>
      <w:rFonts w:ascii="Times New Roman" w:eastAsia="Times New Roman" w:hAnsi="Times New Roman" w:cs="Times New Roman"/>
      <w:bCs/>
      <w:iCs/>
      <w:sz w:val="24"/>
      <w:szCs w:val="20"/>
      <w:lang w:eastAsia="hr-HR"/>
    </w:rPr>
  </w:style>
  <w:style w:type="character" w:customStyle="1" w:styleId="Heading5Char">
    <w:name w:val="Heading 5 Char"/>
    <w:basedOn w:val="DefaultParagraphFont"/>
    <w:link w:val="Heading5"/>
    <w:uiPriority w:val="9"/>
    <w:rsid w:val="00636E95"/>
    <w:rPr>
      <w:rFonts w:ascii="Times New Roman" w:eastAsia="Times New Roman" w:hAnsi="Times New Roman" w:cs="Times New Roman"/>
      <w:bCs/>
      <w:iCs/>
      <w:sz w:val="24"/>
      <w:szCs w:val="26"/>
      <w:lang w:eastAsia="hr-HR"/>
    </w:rPr>
  </w:style>
  <w:style w:type="character" w:customStyle="1" w:styleId="Heading6Char">
    <w:name w:val="Heading 6 Char"/>
    <w:basedOn w:val="DefaultParagraphFont"/>
    <w:link w:val="Heading6"/>
    <w:uiPriority w:val="9"/>
    <w:rsid w:val="00636E95"/>
    <w:rPr>
      <w:rFonts w:ascii="Calibri" w:eastAsia="Times New Roman" w:hAnsi="Calibri" w:cs="Times New Roman"/>
      <w:b/>
      <w:bCs/>
    </w:rPr>
  </w:style>
  <w:style w:type="character" w:customStyle="1" w:styleId="Heading7Char">
    <w:name w:val="Heading 7 Char"/>
    <w:basedOn w:val="DefaultParagraphFont"/>
    <w:link w:val="Heading7"/>
    <w:uiPriority w:val="9"/>
    <w:rsid w:val="00636E95"/>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636E9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636E95"/>
    <w:rPr>
      <w:rFonts w:ascii="Cambria" w:eastAsia="Times New Roman" w:hAnsi="Cambria" w:cs="Times New Roman"/>
    </w:rPr>
  </w:style>
  <w:style w:type="paragraph" w:customStyle="1" w:styleId="ListDash1">
    <w:name w:val="List Dash 1"/>
    <w:basedOn w:val="Normal"/>
    <w:rsid w:val="00636E95"/>
  </w:style>
  <w:style w:type="paragraph" w:customStyle="1" w:styleId="ListNumber1">
    <w:name w:val="List Number 1"/>
    <w:basedOn w:val="Text1"/>
    <w:rsid w:val="00636E95"/>
    <w:pPr>
      <w:numPr>
        <w:numId w:val="1"/>
      </w:numPr>
    </w:pPr>
  </w:style>
  <w:style w:type="paragraph" w:customStyle="1" w:styleId="ListNumber1Level2">
    <w:name w:val="List Number 1 (Level 2)"/>
    <w:basedOn w:val="Text1"/>
    <w:rsid w:val="00636E95"/>
    <w:pPr>
      <w:numPr>
        <w:ilvl w:val="1"/>
        <w:numId w:val="1"/>
      </w:numPr>
    </w:pPr>
  </w:style>
  <w:style w:type="paragraph" w:customStyle="1" w:styleId="ListNumber1Level3">
    <w:name w:val="List Number 1 (Level 3)"/>
    <w:basedOn w:val="Text1"/>
    <w:rsid w:val="00636E95"/>
    <w:pPr>
      <w:numPr>
        <w:ilvl w:val="2"/>
        <w:numId w:val="1"/>
      </w:numPr>
    </w:pPr>
  </w:style>
  <w:style w:type="paragraph" w:customStyle="1" w:styleId="ListNumber1Level4">
    <w:name w:val="List Number 1 (Level 4)"/>
    <w:basedOn w:val="Text1"/>
    <w:rsid w:val="00636E95"/>
    <w:pPr>
      <w:numPr>
        <w:ilvl w:val="3"/>
        <w:numId w:val="1"/>
      </w:numPr>
    </w:pPr>
  </w:style>
  <w:style w:type="character" w:styleId="CommentReference">
    <w:name w:val="annotation reference"/>
    <w:uiPriority w:val="99"/>
    <w:rsid w:val="00636E95"/>
    <w:rPr>
      <w:rFonts w:cs="Times New Roman"/>
      <w:sz w:val="16"/>
      <w:szCs w:val="16"/>
      <w:shd w:val="clear" w:color="auto" w:fill="auto"/>
    </w:rPr>
  </w:style>
  <w:style w:type="paragraph" w:styleId="Caption">
    <w:name w:val="caption"/>
    <w:basedOn w:val="Normal"/>
    <w:next w:val="Normal"/>
    <w:qFormat/>
    <w:rsid w:val="00636E95"/>
    <w:rPr>
      <w:b/>
      <w:bCs/>
      <w:sz w:val="20"/>
    </w:rPr>
  </w:style>
  <w:style w:type="paragraph" w:styleId="TableofFigures">
    <w:name w:val="table of figures"/>
    <w:basedOn w:val="Normal"/>
    <w:next w:val="Normal"/>
    <w:rsid w:val="00636E95"/>
  </w:style>
  <w:style w:type="paragraph" w:styleId="ListBullet">
    <w:name w:val="List Bullet"/>
    <w:basedOn w:val="Normal"/>
    <w:rsid w:val="00636E95"/>
    <w:pPr>
      <w:numPr>
        <w:numId w:val="2"/>
      </w:numPr>
    </w:pPr>
  </w:style>
  <w:style w:type="paragraph" w:styleId="ListBullet2">
    <w:name w:val="List Bullet 2"/>
    <w:basedOn w:val="Normal"/>
    <w:rsid w:val="00636E95"/>
    <w:pPr>
      <w:numPr>
        <w:numId w:val="3"/>
      </w:numPr>
    </w:pPr>
  </w:style>
  <w:style w:type="paragraph" w:styleId="ListBullet3">
    <w:name w:val="List Bullet 3"/>
    <w:basedOn w:val="Normal"/>
    <w:rsid w:val="00636E95"/>
    <w:pPr>
      <w:numPr>
        <w:numId w:val="4"/>
      </w:numPr>
    </w:pPr>
  </w:style>
  <w:style w:type="paragraph" w:styleId="ListBullet4">
    <w:name w:val="List Bullet 4"/>
    <w:basedOn w:val="Normal"/>
    <w:rsid w:val="00636E95"/>
    <w:pPr>
      <w:numPr>
        <w:numId w:val="5"/>
      </w:numPr>
    </w:pPr>
  </w:style>
  <w:style w:type="paragraph" w:styleId="ListNumber">
    <w:name w:val="List Number"/>
    <w:basedOn w:val="Normal"/>
    <w:rsid w:val="00636E95"/>
    <w:pPr>
      <w:numPr>
        <w:numId w:val="6"/>
      </w:numPr>
    </w:pPr>
  </w:style>
  <w:style w:type="paragraph" w:styleId="ListNumber2">
    <w:name w:val="List Number 2"/>
    <w:basedOn w:val="Normal"/>
    <w:rsid w:val="00636E95"/>
    <w:pPr>
      <w:numPr>
        <w:numId w:val="7"/>
      </w:numPr>
    </w:pPr>
  </w:style>
  <w:style w:type="paragraph" w:styleId="ListNumber3">
    <w:name w:val="List Number 3"/>
    <w:basedOn w:val="Normal"/>
    <w:rsid w:val="00636E95"/>
    <w:pPr>
      <w:numPr>
        <w:numId w:val="8"/>
      </w:numPr>
    </w:pPr>
  </w:style>
  <w:style w:type="paragraph" w:styleId="ListNumber4">
    <w:name w:val="List Number 4"/>
    <w:basedOn w:val="Normal"/>
    <w:rsid w:val="00636E95"/>
    <w:pPr>
      <w:numPr>
        <w:numId w:val="9"/>
      </w:numPr>
    </w:pPr>
  </w:style>
  <w:style w:type="paragraph" w:styleId="CommentText">
    <w:name w:val="annotation text"/>
    <w:basedOn w:val="Normal"/>
    <w:link w:val="CommentTextChar"/>
    <w:uiPriority w:val="99"/>
    <w:rsid w:val="00636E95"/>
    <w:rPr>
      <w:sz w:val="20"/>
    </w:rPr>
  </w:style>
  <w:style w:type="character" w:customStyle="1" w:styleId="CommentTextChar">
    <w:name w:val="Comment Text Char"/>
    <w:basedOn w:val="DefaultParagraphFont"/>
    <w:link w:val="CommentText"/>
    <w:uiPriority w:val="99"/>
    <w:rsid w:val="00636E95"/>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rsid w:val="00636E95"/>
    <w:rPr>
      <w:b/>
      <w:bCs/>
    </w:rPr>
  </w:style>
  <w:style w:type="character" w:customStyle="1" w:styleId="CommentSubjectChar">
    <w:name w:val="Comment Subject Char"/>
    <w:basedOn w:val="CommentTextChar"/>
    <w:link w:val="CommentSubject"/>
    <w:uiPriority w:val="99"/>
    <w:rsid w:val="00636E95"/>
    <w:rPr>
      <w:rFonts w:ascii="Times New Roman" w:eastAsia="Times New Roman" w:hAnsi="Times New Roman" w:cs="Times New Roman"/>
      <w:b/>
      <w:bCs/>
      <w:sz w:val="20"/>
      <w:szCs w:val="20"/>
      <w:lang w:eastAsia="hr-HR"/>
    </w:rPr>
  </w:style>
  <w:style w:type="character" w:styleId="Hyperlink">
    <w:name w:val="Hyperlink"/>
    <w:uiPriority w:val="99"/>
    <w:rsid w:val="00636E95"/>
    <w:rPr>
      <w:color w:val="0000FF"/>
      <w:u w:val="single"/>
      <w:shd w:val="clear" w:color="auto" w:fill="auto"/>
    </w:rPr>
  </w:style>
  <w:style w:type="paragraph" w:styleId="BalloonText">
    <w:name w:val="Balloon Text"/>
    <w:basedOn w:val="Normal"/>
    <w:link w:val="BalloonTextChar"/>
    <w:uiPriority w:val="99"/>
    <w:rsid w:val="00636E95"/>
    <w:rPr>
      <w:rFonts w:ascii="Tahoma" w:hAnsi="Tahoma" w:cs="Tahoma"/>
      <w:sz w:val="16"/>
      <w:szCs w:val="16"/>
    </w:rPr>
  </w:style>
  <w:style w:type="character" w:customStyle="1" w:styleId="BalloonTextChar">
    <w:name w:val="Balloon Text Char"/>
    <w:basedOn w:val="DefaultParagraphFont"/>
    <w:link w:val="BalloonText"/>
    <w:uiPriority w:val="99"/>
    <w:rsid w:val="00636E95"/>
    <w:rPr>
      <w:rFonts w:ascii="Tahoma" w:eastAsia="Times New Roman" w:hAnsi="Tahoma" w:cs="Tahoma"/>
      <w:sz w:val="16"/>
      <w:szCs w:val="16"/>
      <w:lang w:eastAsia="hr-HR"/>
    </w:rPr>
  </w:style>
  <w:style w:type="paragraph" w:customStyle="1" w:styleId="ListDash3">
    <w:name w:val="List Dash 3"/>
    <w:basedOn w:val="Text3"/>
    <w:rsid w:val="00636E95"/>
    <w:pPr>
      <w:numPr>
        <w:numId w:val="10"/>
      </w:numPr>
      <w:spacing w:before="0" w:after="240"/>
    </w:pPr>
  </w:style>
  <w:style w:type="character" w:customStyle="1" w:styleId="Text1Char">
    <w:name w:val="Text 1 Char"/>
    <w:link w:val="Text1"/>
    <w:rsid w:val="00636E95"/>
    <w:rPr>
      <w:sz w:val="24"/>
      <w:szCs w:val="24"/>
    </w:rPr>
  </w:style>
  <w:style w:type="character" w:customStyle="1" w:styleId="Point1Char">
    <w:name w:val="Point 1 Char"/>
    <w:link w:val="Point1"/>
    <w:rsid w:val="00636E95"/>
    <w:rPr>
      <w:sz w:val="24"/>
      <w:szCs w:val="24"/>
    </w:rPr>
  </w:style>
  <w:style w:type="character" w:customStyle="1" w:styleId="Tiret2Char">
    <w:name w:val="Tiret 2 Char"/>
    <w:link w:val="Tiret2"/>
    <w:rsid w:val="00636E95"/>
    <w:rPr>
      <w:sz w:val="24"/>
      <w:lang w:eastAsia="hr-HR"/>
    </w:rPr>
  </w:style>
  <w:style w:type="paragraph" w:styleId="ListParagraph">
    <w:name w:val="List Paragraph"/>
    <w:basedOn w:val="Normal"/>
    <w:link w:val="ListParagraphChar"/>
    <w:uiPriority w:val="34"/>
    <w:qFormat/>
    <w:rsid w:val="00636E95"/>
    <w:pPr>
      <w:spacing w:before="0" w:after="0"/>
      <w:ind w:left="720"/>
      <w:jc w:val="left"/>
    </w:pPr>
    <w:rPr>
      <w:rFonts w:ascii="Calibri" w:eastAsia="Calibri" w:hAnsi="Calibri" w:cs="Calibri"/>
      <w:sz w:val="22"/>
      <w:szCs w:val="22"/>
    </w:rPr>
  </w:style>
  <w:style w:type="paragraph" w:styleId="Revision">
    <w:name w:val="Revision"/>
    <w:hidden/>
    <w:uiPriority w:val="99"/>
    <w:semiHidden/>
    <w:rsid w:val="00636E9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36E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36E95"/>
    <w:rPr>
      <w:i/>
      <w:noProof/>
      <w:u w:val="single"/>
    </w:rPr>
  </w:style>
  <w:style w:type="table" w:customStyle="1" w:styleId="TableGrid1">
    <w:name w:val="Table Grid1"/>
    <w:basedOn w:val="TableNormal"/>
    <w:next w:val="TableGrid"/>
    <w:uiPriority w:val="59"/>
    <w:rsid w:val="00636E95"/>
    <w:pPr>
      <w:numPr>
        <w:numId w:val="46"/>
      </w:numPr>
      <w:spacing w:after="0" w:line="240" w:lineRule="auto"/>
      <w:ind w:left="1570" w:hanging="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nhideWhenUsed/>
    <w:rsid w:val="00636E95"/>
    <w:pPr>
      <w:spacing w:before="0" w:after="0"/>
      <w:jc w:val="left"/>
    </w:pPr>
    <w:rPr>
      <w:rFonts w:ascii="Tahoma" w:eastAsia="Calibri" w:hAnsi="Tahoma" w:cs="Tahoma"/>
      <w:sz w:val="16"/>
      <w:szCs w:val="16"/>
    </w:rPr>
  </w:style>
  <w:style w:type="character" w:customStyle="1" w:styleId="DocumentMapChar">
    <w:name w:val="Document Map Char"/>
    <w:basedOn w:val="DefaultParagraphFont"/>
    <w:link w:val="DocumentMap"/>
    <w:rsid w:val="00636E95"/>
    <w:rPr>
      <w:rFonts w:ascii="Tahoma" w:eastAsia="Calibri" w:hAnsi="Tahoma" w:cs="Tahoma"/>
      <w:sz w:val="16"/>
      <w:szCs w:val="16"/>
      <w:lang w:eastAsia="hr-HR"/>
    </w:rPr>
  </w:style>
  <w:style w:type="paragraph" w:styleId="EndnoteText">
    <w:name w:val="endnote text"/>
    <w:basedOn w:val="Normal"/>
    <w:link w:val="EndnoteTextChar"/>
    <w:unhideWhenUsed/>
    <w:rsid w:val="00636E95"/>
    <w:pPr>
      <w:spacing w:before="0" w:after="0"/>
      <w:jc w:val="left"/>
    </w:pPr>
    <w:rPr>
      <w:rFonts w:ascii="Calibri" w:eastAsia="Calibri" w:hAnsi="Calibri"/>
      <w:sz w:val="20"/>
    </w:rPr>
  </w:style>
  <w:style w:type="character" w:customStyle="1" w:styleId="EndnoteTextChar">
    <w:name w:val="Endnote Text Char"/>
    <w:basedOn w:val="DefaultParagraphFont"/>
    <w:link w:val="EndnoteText"/>
    <w:rsid w:val="00636E95"/>
    <w:rPr>
      <w:rFonts w:ascii="Calibri" w:eastAsia="Calibri" w:hAnsi="Calibri" w:cs="Times New Roman"/>
      <w:sz w:val="20"/>
      <w:szCs w:val="20"/>
      <w:lang w:eastAsia="hr-HR"/>
    </w:rPr>
  </w:style>
  <w:style w:type="character" w:styleId="EndnoteReference">
    <w:name w:val="endnote reference"/>
    <w:uiPriority w:val="99"/>
    <w:unhideWhenUsed/>
    <w:rsid w:val="00636E95"/>
    <w:rPr>
      <w:shd w:val="clear" w:color="auto" w:fill="auto"/>
      <w:vertAlign w:val="superscript"/>
    </w:rPr>
  </w:style>
  <w:style w:type="paragraph" w:customStyle="1" w:styleId="Default">
    <w:name w:val="Default"/>
    <w:rsid w:val="00636E9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636E95"/>
    <w:rPr>
      <w:rFonts w:cs="Times New Roman"/>
      <w:color w:val="auto"/>
    </w:rPr>
  </w:style>
  <w:style w:type="paragraph" w:customStyle="1" w:styleId="CM3">
    <w:name w:val="CM3"/>
    <w:basedOn w:val="Default"/>
    <w:next w:val="Default"/>
    <w:uiPriority w:val="99"/>
    <w:rsid w:val="00636E95"/>
    <w:rPr>
      <w:rFonts w:cs="Times New Roman"/>
      <w:color w:val="auto"/>
    </w:rPr>
  </w:style>
  <w:style w:type="paragraph" w:customStyle="1" w:styleId="CM4">
    <w:name w:val="CM4"/>
    <w:basedOn w:val="Default"/>
    <w:next w:val="Default"/>
    <w:uiPriority w:val="99"/>
    <w:rsid w:val="00636E95"/>
    <w:rPr>
      <w:rFonts w:cs="Times New Roman"/>
      <w:color w:val="auto"/>
    </w:rPr>
  </w:style>
  <w:style w:type="paragraph" w:styleId="Header">
    <w:name w:val="header"/>
    <w:basedOn w:val="Normal"/>
    <w:link w:val="HeaderChar"/>
    <w:uiPriority w:val="99"/>
    <w:unhideWhenUsed/>
    <w:rsid w:val="00356C1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sid w:val="00356C1D"/>
    <w:rPr>
      <w:rFonts w:ascii="Times New Roman" w:hAnsi="Times New Roman" w:cs="Times New Roman"/>
      <w:sz w:val="24"/>
    </w:rPr>
  </w:style>
  <w:style w:type="paragraph" w:styleId="Footer">
    <w:name w:val="footer"/>
    <w:basedOn w:val="Normal"/>
    <w:link w:val="FooterChar"/>
    <w:uiPriority w:val="99"/>
    <w:unhideWhenUsed/>
    <w:rsid w:val="00356C1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sid w:val="00356C1D"/>
    <w:rPr>
      <w:rFonts w:ascii="Times New Roman" w:hAnsi="Times New Roman" w:cs="Times New Roman"/>
      <w:sz w:val="24"/>
    </w:rPr>
  </w:style>
  <w:style w:type="paragraph" w:styleId="FootnoteText">
    <w:name w:val="footnote text"/>
    <w:basedOn w:val="Normal"/>
    <w:link w:val="FootnoteTextChar"/>
    <w:uiPriority w:val="99"/>
    <w:semiHidden/>
    <w:unhideWhenUsed/>
    <w:rsid w:val="00636E95"/>
    <w:pPr>
      <w:spacing w:before="0" w:after="0"/>
      <w:ind w:left="720" w:hanging="720"/>
    </w:pPr>
    <w:rPr>
      <w:sz w:val="20"/>
    </w:rPr>
  </w:style>
  <w:style w:type="character" w:customStyle="1" w:styleId="FootnoteTextChar">
    <w:name w:val="Footnote Text Char"/>
    <w:basedOn w:val="DefaultParagraphFont"/>
    <w:link w:val="FootnoteText"/>
    <w:uiPriority w:val="99"/>
    <w:semiHidden/>
    <w:rsid w:val="00636E95"/>
    <w:rPr>
      <w:rFonts w:ascii="Times New Roman" w:eastAsia="Times New Roman" w:hAnsi="Times New Roman" w:cs="Times New Roman"/>
      <w:sz w:val="20"/>
      <w:szCs w:val="20"/>
      <w:lang w:eastAsia="hr-HR"/>
    </w:rPr>
  </w:style>
  <w:style w:type="paragraph" w:styleId="TOCHeading">
    <w:name w:val="TOC Heading"/>
    <w:basedOn w:val="Normal"/>
    <w:next w:val="Normal"/>
    <w:uiPriority w:val="39"/>
    <w:qFormat/>
    <w:rsid w:val="00636E95"/>
    <w:pPr>
      <w:spacing w:after="240"/>
      <w:jc w:val="center"/>
    </w:pPr>
    <w:rPr>
      <w:b/>
      <w:sz w:val="28"/>
    </w:rPr>
  </w:style>
  <w:style w:type="paragraph" w:styleId="TOC1">
    <w:name w:val="toc 1"/>
    <w:basedOn w:val="Normal"/>
    <w:next w:val="Normal"/>
    <w:uiPriority w:val="39"/>
    <w:unhideWhenUsed/>
    <w:qFormat/>
    <w:rsid w:val="00636E95"/>
    <w:pPr>
      <w:tabs>
        <w:tab w:val="right" w:leader="dot" w:pos="9071"/>
      </w:tabs>
      <w:spacing w:before="60"/>
      <w:ind w:left="850" w:hanging="850"/>
      <w:jc w:val="left"/>
    </w:pPr>
  </w:style>
  <w:style w:type="paragraph" w:styleId="TOC2">
    <w:name w:val="toc 2"/>
    <w:basedOn w:val="Normal"/>
    <w:next w:val="Normal"/>
    <w:uiPriority w:val="39"/>
    <w:unhideWhenUsed/>
    <w:qFormat/>
    <w:rsid w:val="00636E95"/>
    <w:pPr>
      <w:tabs>
        <w:tab w:val="right" w:leader="dot" w:pos="9071"/>
      </w:tabs>
      <w:spacing w:before="60"/>
      <w:ind w:left="850" w:hanging="850"/>
      <w:jc w:val="left"/>
    </w:pPr>
  </w:style>
  <w:style w:type="paragraph" w:styleId="TOC3">
    <w:name w:val="toc 3"/>
    <w:basedOn w:val="Normal"/>
    <w:next w:val="Normal"/>
    <w:uiPriority w:val="39"/>
    <w:unhideWhenUsed/>
    <w:qFormat/>
    <w:rsid w:val="00636E95"/>
    <w:pPr>
      <w:tabs>
        <w:tab w:val="right" w:leader="dot" w:pos="9071"/>
      </w:tabs>
      <w:spacing w:before="60"/>
      <w:ind w:left="850" w:hanging="850"/>
      <w:jc w:val="left"/>
    </w:pPr>
  </w:style>
  <w:style w:type="paragraph" w:styleId="TOC4">
    <w:name w:val="toc 4"/>
    <w:basedOn w:val="Normal"/>
    <w:next w:val="Normal"/>
    <w:uiPriority w:val="39"/>
    <w:unhideWhenUsed/>
    <w:rsid w:val="00636E95"/>
    <w:pPr>
      <w:tabs>
        <w:tab w:val="right" w:leader="dot" w:pos="9071"/>
      </w:tabs>
      <w:spacing w:before="60"/>
      <w:ind w:left="850" w:hanging="850"/>
      <w:jc w:val="left"/>
    </w:pPr>
  </w:style>
  <w:style w:type="paragraph" w:styleId="TOC5">
    <w:name w:val="toc 5"/>
    <w:basedOn w:val="Normal"/>
    <w:next w:val="Normal"/>
    <w:uiPriority w:val="39"/>
    <w:unhideWhenUsed/>
    <w:rsid w:val="00636E95"/>
    <w:pPr>
      <w:tabs>
        <w:tab w:val="right" w:leader="dot" w:pos="9071"/>
      </w:tabs>
      <w:spacing w:before="300"/>
      <w:jc w:val="left"/>
    </w:pPr>
  </w:style>
  <w:style w:type="paragraph" w:styleId="TOC6">
    <w:name w:val="toc 6"/>
    <w:basedOn w:val="Normal"/>
    <w:next w:val="Normal"/>
    <w:uiPriority w:val="39"/>
    <w:unhideWhenUsed/>
    <w:rsid w:val="00636E95"/>
    <w:pPr>
      <w:tabs>
        <w:tab w:val="right" w:leader="dot" w:pos="9071"/>
      </w:tabs>
      <w:spacing w:before="240"/>
      <w:jc w:val="left"/>
    </w:pPr>
  </w:style>
  <w:style w:type="paragraph" w:styleId="TOC7">
    <w:name w:val="toc 7"/>
    <w:basedOn w:val="Normal"/>
    <w:next w:val="Normal"/>
    <w:uiPriority w:val="39"/>
    <w:unhideWhenUsed/>
    <w:rsid w:val="00636E95"/>
    <w:pPr>
      <w:tabs>
        <w:tab w:val="right" w:leader="dot" w:pos="9071"/>
      </w:tabs>
      <w:spacing w:before="180"/>
      <w:jc w:val="left"/>
    </w:pPr>
  </w:style>
  <w:style w:type="paragraph" w:styleId="TOC8">
    <w:name w:val="toc 8"/>
    <w:basedOn w:val="Normal"/>
    <w:next w:val="Normal"/>
    <w:uiPriority w:val="39"/>
    <w:unhideWhenUsed/>
    <w:rsid w:val="00636E95"/>
    <w:pPr>
      <w:tabs>
        <w:tab w:val="right" w:leader="dot" w:pos="9071"/>
      </w:tabs>
      <w:jc w:val="left"/>
    </w:pPr>
  </w:style>
  <w:style w:type="paragraph" w:styleId="TOC9">
    <w:name w:val="toc 9"/>
    <w:basedOn w:val="Normal"/>
    <w:next w:val="Normal"/>
    <w:uiPriority w:val="39"/>
    <w:unhideWhenUsed/>
    <w:rsid w:val="00636E95"/>
    <w:pPr>
      <w:tabs>
        <w:tab w:val="right" w:leader="dot" w:pos="9071"/>
      </w:tabs>
    </w:pPr>
  </w:style>
  <w:style w:type="paragraph" w:customStyle="1" w:styleId="HeaderLandscape">
    <w:name w:val="HeaderLandscape"/>
    <w:basedOn w:val="Normal"/>
    <w:rsid w:val="00356C1D"/>
    <w:pPr>
      <w:tabs>
        <w:tab w:val="center" w:pos="7285"/>
        <w:tab w:val="right" w:pos="14003"/>
      </w:tabs>
      <w:spacing w:before="0"/>
    </w:pPr>
    <w:rPr>
      <w:rFonts w:eastAsiaTheme="minorHAnsi"/>
      <w:szCs w:val="22"/>
    </w:rPr>
  </w:style>
  <w:style w:type="paragraph" w:customStyle="1" w:styleId="FooterLandscape">
    <w:name w:val="FooterLandscape"/>
    <w:basedOn w:val="Normal"/>
    <w:rsid w:val="00356C1D"/>
    <w:pPr>
      <w:tabs>
        <w:tab w:val="center" w:pos="7285"/>
        <w:tab w:val="center" w:pos="10913"/>
        <w:tab w:val="right" w:pos="15137"/>
      </w:tabs>
      <w:spacing w:before="360" w:after="0"/>
      <w:ind w:left="-567" w:right="-567"/>
      <w:jc w:val="left"/>
    </w:pPr>
    <w:rPr>
      <w:rFonts w:eastAsiaTheme="minorHAnsi"/>
      <w:szCs w:val="22"/>
    </w:rPr>
  </w:style>
  <w:style w:type="character" w:styleId="FootnoteReference">
    <w:name w:val="footnote reference"/>
    <w:aliases w:val="Footnote symbol,Footnote reference number,Footnote,Times 10 Point,Exposant 3 Point,Ref,de nota al pie,note TESI,SUPERS,EN Footnote Reference,EN Footnote text"/>
    <w:uiPriority w:val="99"/>
    <w:unhideWhenUsed/>
    <w:rsid w:val="00636E95"/>
    <w:rPr>
      <w:shd w:val="clear" w:color="auto" w:fill="auto"/>
      <w:vertAlign w:val="superscript"/>
    </w:rPr>
  </w:style>
  <w:style w:type="paragraph" w:customStyle="1" w:styleId="Text1">
    <w:name w:val="Text 1"/>
    <w:basedOn w:val="Normal"/>
    <w:link w:val="Text1Char"/>
    <w:rsid w:val="00636E95"/>
    <w:pPr>
      <w:ind w:left="850"/>
    </w:pPr>
    <w:rPr>
      <w:rFonts w:asciiTheme="minorHAnsi" w:eastAsiaTheme="minorHAnsi" w:hAnsiTheme="minorHAnsi" w:cstheme="minorBidi"/>
      <w:szCs w:val="24"/>
    </w:rPr>
  </w:style>
  <w:style w:type="paragraph" w:customStyle="1" w:styleId="Text2">
    <w:name w:val="Text 2"/>
    <w:basedOn w:val="Normal"/>
    <w:rsid w:val="00636E95"/>
    <w:pPr>
      <w:ind w:left="1417"/>
    </w:pPr>
  </w:style>
  <w:style w:type="paragraph" w:customStyle="1" w:styleId="Text3">
    <w:name w:val="Text 3"/>
    <w:basedOn w:val="Normal"/>
    <w:rsid w:val="00636E95"/>
    <w:pPr>
      <w:ind w:left="1984"/>
    </w:pPr>
  </w:style>
  <w:style w:type="paragraph" w:customStyle="1" w:styleId="Text4">
    <w:name w:val="Text 4"/>
    <w:basedOn w:val="Normal"/>
    <w:rsid w:val="00636E95"/>
    <w:pPr>
      <w:ind w:left="2551"/>
    </w:pPr>
  </w:style>
  <w:style w:type="paragraph" w:customStyle="1" w:styleId="NormalCentered">
    <w:name w:val="Normal Centered"/>
    <w:basedOn w:val="Normal"/>
    <w:rsid w:val="00636E95"/>
    <w:pPr>
      <w:jc w:val="center"/>
    </w:pPr>
  </w:style>
  <w:style w:type="paragraph" w:customStyle="1" w:styleId="NormalLeft">
    <w:name w:val="Normal Left"/>
    <w:basedOn w:val="Normal"/>
    <w:rsid w:val="00636E95"/>
    <w:pPr>
      <w:jc w:val="left"/>
    </w:pPr>
  </w:style>
  <w:style w:type="paragraph" w:customStyle="1" w:styleId="NormalRight">
    <w:name w:val="Normal Right"/>
    <w:basedOn w:val="Normal"/>
    <w:rsid w:val="00636E95"/>
    <w:pPr>
      <w:jc w:val="right"/>
    </w:pPr>
  </w:style>
  <w:style w:type="paragraph" w:customStyle="1" w:styleId="QuotedText">
    <w:name w:val="Quoted Text"/>
    <w:basedOn w:val="Normal"/>
    <w:rsid w:val="00636E95"/>
    <w:pPr>
      <w:ind w:left="1417"/>
    </w:pPr>
  </w:style>
  <w:style w:type="paragraph" w:customStyle="1" w:styleId="Point0">
    <w:name w:val="Point 0"/>
    <w:basedOn w:val="Normal"/>
    <w:rsid w:val="00636E95"/>
    <w:pPr>
      <w:ind w:left="850" w:hanging="850"/>
    </w:pPr>
  </w:style>
  <w:style w:type="paragraph" w:customStyle="1" w:styleId="Point1">
    <w:name w:val="Point 1"/>
    <w:basedOn w:val="Normal"/>
    <w:link w:val="Point1Char"/>
    <w:rsid w:val="00636E95"/>
    <w:pPr>
      <w:ind w:left="1417" w:hanging="567"/>
    </w:pPr>
    <w:rPr>
      <w:rFonts w:asciiTheme="minorHAnsi" w:eastAsiaTheme="minorHAnsi" w:hAnsiTheme="minorHAnsi" w:cstheme="minorBidi"/>
      <w:szCs w:val="24"/>
    </w:rPr>
  </w:style>
  <w:style w:type="paragraph" w:customStyle="1" w:styleId="Point2">
    <w:name w:val="Point 2"/>
    <w:basedOn w:val="Normal"/>
    <w:rsid w:val="00636E95"/>
    <w:pPr>
      <w:ind w:left="1984" w:hanging="567"/>
    </w:pPr>
  </w:style>
  <w:style w:type="paragraph" w:customStyle="1" w:styleId="Point3">
    <w:name w:val="Point 3"/>
    <w:basedOn w:val="Normal"/>
    <w:rsid w:val="00636E95"/>
    <w:pPr>
      <w:ind w:left="2551" w:hanging="567"/>
    </w:pPr>
  </w:style>
  <w:style w:type="paragraph" w:customStyle="1" w:styleId="Point4">
    <w:name w:val="Point 4"/>
    <w:basedOn w:val="Normal"/>
    <w:rsid w:val="00636E95"/>
    <w:pPr>
      <w:ind w:left="3118" w:hanging="567"/>
    </w:pPr>
  </w:style>
  <w:style w:type="paragraph" w:customStyle="1" w:styleId="Tiret0">
    <w:name w:val="Tiret 0"/>
    <w:basedOn w:val="Point0"/>
    <w:rsid w:val="00636E95"/>
    <w:pPr>
      <w:ind w:left="0" w:firstLine="0"/>
    </w:pPr>
  </w:style>
  <w:style w:type="paragraph" w:customStyle="1" w:styleId="Tiret1">
    <w:name w:val="Tiret 1"/>
    <w:basedOn w:val="Point1"/>
    <w:rsid w:val="00636E95"/>
    <w:pPr>
      <w:numPr>
        <w:numId w:val="11"/>
      </w:numPr>
    </w:pPr>
  </w:style>
  <w:style w:type="paragraph" w:customStyle="1" w:styleId="Tiret2">
    <w:name w:val="Tiret 2"/>
    <w:basedOn w:val="Point2"/>
    <w:link w:val="Tiret2Char"/>
    <w:rsid w:val="00636E95"/>
    <w:pPr>
      <w:numPr>
        <w:numId w:val="12"/>
      </w:numPr>
    </w:pPr>
    <w:rPr>
      <w:rFonts w:asciiTheme="minorHAnsi" w:eastAsiaTheme="minorHAnsi" w:hAnsiTheme="minorHAnsi" w:cstheme="minorBidi"/>
      <w:szCs w:val="22"/>
    </w:rPr>
  </w:style>
  <w:style w:type="paragraph" w:customStyle="1" w:styleId="Tiret3">
    <w:name w:val="Tiret 3"/>
    <w:basedOn w:val="Point3"/>
    <w:rsid w:val="00636E95"/>
    <w:pPr>
      <w:numPr>
        <w:numId w:val="13"/>
      </w:numPr>
    </w:pPr>
  </w:style>
  <w:style w:type="paragraph" w:customStyle="1" w:styleId="Tiret4">
    <w:name w:val="Tiret 4"/>
    <w:basedOn w:val="Point4"/>
    <w:rsid w:val="00636E95"/>
    <w:pPr>
      <w:numPr>
        <w:numId w:val="14"/>
      </w:numPr>
    </w:pPr>
  </w:style>
  <w:style w:type="paragraph" w:customStyle="1" w:styleId="PointDouble0">
    <w:name w:val="PointDouble 0"/>
    <w:basedOn w:val="Normal"/>
    <w:rsid w:val="00636E95"/>
    <w:pPr>
      <w:tabs>
        <w:tab w:val="left" w:pos="850"/>
      </w:tabs>
      <w:ind w:left="1417" w:hanging="1417"/>
    </w:pPr>
  </w:style>
  <w:style w:type="paragraph" w:customStyle="1" w:styleId="PointDouble1">
    <w:name w:val="PointDouble 1"/>
    <w:basedOn w:val="Normal"/>
    <w:rsid w:val="00636E95"/>
    <w:pPr>
      <w:tabs>
        <w:tab w:val="left" w:pos="1417"/>
      </w:tabs>
      <w:ind w:left="1984" w:hanging="1134"/>
    </w:pPr>
  </w:style>
  <w:style w:type="paragraph" w:customStyle="1" w:styleId="PointDouble2">
    <w:name w:val="PointDouble 2"/>
    <w:basedOn w:val="Normal"/>
    <w:rsid w:val="00636E95"/>
    <w:pPr>
      <w:tabs>
        <w:tab w:val="left" w:pos="1984"/>
      </w:tabs>
      <w:ind w:left="2551" w:hanging="1134"/>
    </w:pPr>
  </w:style>
  <w:style w:type="paragraph" w:customStyle="1" w:styleId="PointDouble3">
    <w:name w:val="PointDouble 3"/>
    <w:basedOn w:val="Normal"/>
    <w:rsid w:val="00636E95"/>
    <w:pPr>
      <w:tabs>
        <w:tab w:val="left" w:pos="2551"/>
      </w:tabs>
      <w:ind w:left="3118" w:hanging="1134"/>
    </w:pPr>
  </w:style>
  <w:style w:type="paragraph" w:customStyle="1" w:styleId="PointDouble4">
    <w:name w:val="PointDouble 4"/>
    <w:basedOn w:val="Normal"/>
    <w:rsid w:val="00636E95"/>
    <w:pPr>
      <w:tabs>
        <w:tab w:val="left" w:pos="3118"/>
      </w:tabs>
      <w:ind w:left="3685" w:hanging="1134"/>
    </w:pPr>
  </w:style>
  <w:style w:type="paragraph" w:customStyle="1" w:styleId="PointTriple0">
    <w:name w:val="PointTriple 0"/>
    <w:basedOn w:val="Normal"/>
    <w:rsid w:val="00636E95"/>
    <w:pPr>
      <w:tabs>
        <w:tab w:val="left" w:pos="850"/>
        <w:tab w:val="left" w:pos="1417"/>
      </w:tabs>
      <w:ind w:left="1984" w:hanging="1984"/>
    </w:pPr>
  </w:style>
  <w:style w:type="paragraph" w:customStyle="1" w:styleId="PointTriple1">
    <w:name w:val="PointTriple 1"/>
    <w:basedOn w:val="Normal"/>
    <w:rsid w:val="00636E95"/>
    <w:pPr>
      <w:tabs>
        <w:tab w:val="left" w:pos="1417"/>
        <w:tab w:val="left" w:pos="1984"/>
      </w:tabs>
      <w:ind w:left="2551" w:hanging="1701"/>
    </w:pPr>
  </w:style>
  <w:style w:type="paragraph" w:customStyle="1" w:styleId="PointTriple2">
    <w:name w:val="PointTriple 2"/>
    <w:basedOn w:val="Normal"/>
    <w:rsid w:val="00636E95"/>
    <w:pPr>
      <w:tabs>
        <w:tab w:val="left" w:pos="1984"/>
        <w:tab w:val="left" w:pos="2551"/>
      </w:tabs>
      <w:ind w:left="3118" w:hanging="1701"/>
    </w:pPr>
  </w:style>
  <w:style w:type="paragraph" w:customStyle="1" w:styleId="PointTriple3">
    <w:name w:val="PointTriple 3"/>
    <w:basedOn w:val="Normal"/>
    <w:rsid w:val="00636E95"/>
    <w:pPr>
      <w:tabs>
        <w:tab w:val="left" w:pos="2551"/>
        <w:tab w:val="left" w:pos="3118"/>
      </w:tabs>
      <w:ind w:left="3685" w:hanging="1701"/>
    </w:pPr>
  </w:style>
  <w:style w:type="paragraph" w:customStyle="1" w:styleId="PointTriple4">
    <w:name w:val="PointTriple 4"/>
    <w:basedOn w:val="Normal"/>
    <w:rsid w:val="00636E95"/>
    <w:pPr>
      <w:tabs>
        <w:tab w:val="left" w:pos="3118"/>
        <w:tab w:val="left" w:pos="3685"/>
      </w:tabs>
      <w:ind w:left="4252" w:hanging="1701"/>
    </w:pPr>
  </w:style>
  <w:style w:type="paragraph" w:customStyle="1" w:styleId="NumPar1">
    <w:name w:val="NumPar 1"/>
    <w:basedOn w:val="Normal"/>
    <w:next w:val="Text1"/>
    <w:rsid w:val="00636E95"/>
    <w:pPr>
      <w:numPr>
        <w:numId w:val="15"/>
      </w:numPr>
    </w:pPr>
  </w:style>
  <w:style w:type="paragraph" w:customStyle="1" w:styleId="NumPar2">
    <w:name w:val="NumPar 2"/>
    <w:basedOn w:val="Normal"/>
    <w:next w:val="Text1"/>
    <w:rsid w:val="00636E95"/>
    <w:pPr>
      <w:numPr>
        <w:ilvl w:val="1"/>
        <w:numId w:val="15"/>
      </w:numPr>
    </w:pPr>
  </w:style>
  <w:style w:type="paragraph" w:customStyle="1" w:styleId="NumPar3">
    <w:name w:val="NumPar 3"/>
    <w:basedOn w:val="Normal"/>
    <w:next w:val="Text1"/>
    <w:rsid w:val="00636E95"/>
    <w:pPr>
      <w:numPr>
        <w:ilvl w:val="2"/>
        <w:numId w:val="15"/>
      </w:numPr>
    </w:pPr>
  </w:style>
  <w:style w:type="paragraph" w:customStyle="1" w:styleId="NumPar4">
    <w:name w:val="NumPar 4"/>
    <w:basedOn w:val="Normal"/>
    <w:next w:val="Text1"/>
    <w:rsid w:val="00636E95"/>
    <w:pPr>
      <w:numPr>
        <w:ilvl w:val="3"/>
        <w:numId w:val="15"/>
      </w:numPr>
    </w:pPr>
  </w:style>
  <w:style w:type="paragraph" w:customStyle="1" w:styleId="ManualNumPar1">
    <w:name w:val="Manual NumPar 1"/>
    <w:basedOn w:val="Normal"/>
    <w:next w:val="Text1"/>
    <w:rsid w:val="00636E95"/>
    <w:pPr>
      <w:ind w:left="850" w:hanging="850"/>
    </w:pPr>
  </w:style>
  <w:style w:type="paragraph" w:customStyle="1" w:styleId="ManualNumPar2">
    <w:name w:val="Manual NumPar 2"/>
    <w:basedOn w:val="Normal"/>
    <w:next w:val="Text1"/>
    <w:rsid w:val="00636E95"/>
    <w:pPr>
      <w:ind w:left="850" w:hanging="850"/>
    </w:pPr>
  </w:style>
  <w:style w:type="paragraph" w:customStyle="1" w:styleId="ManualNumPar3">
    <w:name w:val="Manual NumPar 3"/>
    <w:basedOn w:val="Normal"/>
    <w:next w:val="Text1"/>
    <w:rsid w:val="00636E95"/>
    <w:pPr>
      <w:ind w:left="850" w:hanging="850"/>
    </w:pPr>
  </w:style>
  <w:style w:type="paragraph" w:customStyle="1" w:styleId="ManualNumPar4">
    <w:name w:val="Manual NumPar 4"/>
    <w:basedOn w:val="Normal"/>
    <w:next w:val="Text1"/>
    <w:rsid w:val="00636E95"/>
    <w:pPr>
      <w:ind w:left="850" w:hanging="850"/>
    </w:pPr>
  </w:style>
  <w:style w:type="paragraph" w:customStyle="1" w:styleId="QuotedNumPar">
    <w:name w:val="Quoted NumPar"/>
    <w:basedOn w:val="Normal"/>
    <w:rsid w:val="00636E95"/>
    <w:pPr>
      <w:ind w:left="1417" w:hanging="567"/>
    </w:pPr>
  </w:style>
  <w:style w:type="paragraph" w:customStyle="1" w:styleId="ManualHeading1">
    <w:name w:val="Manual Heading 1"/>
    <w:basedOn w:val="Normal"/>
    <w:next w:val="Text1"/>
    <w:rsid w:val="00636E9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636E95"/>
    <w:pPr>
      <w:keepNext/>
      <w:tabs>
        <w:tab w:val="left" w:pos="850"/>
      </w:tabs>
      <w:ind w:left="850" w:hanging="850"/>
      <w:outlineLvl w:val="1"/>
    </w:pPr>
    <w:rPr>
      <w:b/>
    </w:rPr>
  </w:style>
  <w:style w:type="paragraph" w:customStyle="1" w:styleId="ManualHeading3">
    <w:name w:val="Manual Heading 3"/>
    <w:basedOn w:val="Normal"/>
    <w:next w:val="Text1"/>
    <w:rsid w:val="00636E95"/>
    <w:pPr>
      <w:keepNext/>
      <w:tabs>
        <w:tab w:val="left" w:pos="850"/>
      </w:tabs>
      <w:ind w:left="850" w:hanging="850"/>
      <w:outlineLvl w:val="2"/>
    </w:pPr>
    <w:rPr>
      <w:i/>
    </w:rPr>
  </w:style>
  <w:style w:type="paragraph" w:customStyle="1" w:styleId="ManualHeading4">
    <w:name w:val="Manual Heading 4"/>
    <w:basedOn w:val="Normal"/>
    <w:next w:val="Text1"/>
    <w:rsid w:val="00636E95"/>
    <w:pPr>
      <w:keepNext/>
      <w:tabs>
        <w:tab w:val="left" w:pos="850"/>
      </w:tabs>
      <w:ind w:left="850" w:hanging="850"/>
      <w:outlineLvl w:val="3"/>
    </w:pPr>
  </w:style>
  <w:style w:type="paragraph" w:customStyle="1" w:styleId="ChapterTitle">
    <w:name w:val="ChapterTitle"/>
    <w:basedOn w:val="Normal"/>
    <w:next w:val="Normal"/>
    <w:rsid w:val="00636E95"/>
    <w:pPr>
      <w:keepNext/>
      <w:spacing w:after="360"/>
      <w:jc w:val="center"/>
    </w:pPr>
    <w:rPr>
      <w:b/>
      <w:sz w:val="32"/>
    </w:rPr>
  </w:style>
  <w:style w:type="paragraph" w:customStyle="1" w:styleId="PartTitle">
    <w:name w:val="PartTitle"/>
    <w:basedOn w:val="Normal"/>
    <w:next w:val="ChapterTitle"/>
    <w:rsid w:val="00636E95"/>
    <w:pPr>
      <w:keepNext/>
      <w:pageBreakBefore/>
      <w:spacing w:after="360"/>
      <w:jc w:val="center"/>
    </w:pPr>
    <w:rPr>
      <w:b/>
      <w:sz w:val="36"/>
    </w:rPr>
  </w:style>
  <w:style w:type="paragraph" w:customStyle="1" w:styleId="SectionTitle">
    <w:name w:val="SectionTitle"/>
    <w:basedOn w:val="Normal"/>
    <w:next w:val="Heading1"/>
    <w:rsid w:val="00636E95"/>
    <w:pPr>
      <w:keepNext/>
      <w:spacing w:after="360"/>
      <w:jc w:val="center"/>
    </w:pPr>
    <w:rPr>
      <w:b/>
      <w:smallCaps/>
      <w:sz w:val="28"/>
    </w:rPr>
  </w:style>
  <w:style w:type="paragraph" w:customStyle="1" w:styleId="TableTitle">
    <w:name w:val="Table Title"/>
    <w:basedOn w:val="Normal"/>
    <w:next w:val="Normal"/>
    <w:rsid w:val="00636E95"/>
    <w:pPr>
      <w:jc w:val="center"/>
    </w:pPr>
    <w:rPr>
      <w:b/>
    </w:rPr>
  </w:style>
  <w:style w:type="character" w:customStyle="1" w:styleId="Marker">
    <w:name w:val="Marker"/>
    <w:rsid w:val="00636E95"/>
    <w:rPr>
      <w:color w:val="0000FF"/>
      <w:shd w:val="clear" w:color="auto" w:fill="auto"/>
    </w:rPr>
  </w:style>
  <w:style w:type="character" w:customStyle="1" w:styleId="Marker1">
    <w:name w:val="Marker1"/>
    <w:rsid w:val="00636E95"/>
    <w:rPr>
      <w:color w:val="008000"/>
      <w:shd w:val="clear" w:color="auto" w:fill="auto"/>
    </w:rPr>
  </w:style>
  <w:style w:type="character" w:customStyle="1" w:styleId="Marker2">
    <w:name w:val="Marker2"/>
    <w:rsid w:val="00636E95"/>
    <w:rPr>
      <w:color w:val="FF0000"/>
      <w:shd w:val="clear" w:color="auto" w:fill="auto"/>
    </w:rPr>
  </w:style>
  <w:style w:type="paragraph" w:customStyle="1" w:styleId="Point0number">
    <w:name w:val="Point 0 (number)"/>
    <w:basedOn w:val="Normal"/>
    <w:rsid w:val="00636E95"/>
    <w:pPr>
      <w:numPr>
        <w:numId w:val="32"/>
      </w:numPr>
    </w:pPr>
  </w:style>
  <w:style w:type="paragraph" w:customStyle="1" w:styleId="Point1number">
    <w:name w:val="Point 1 (number)"/>
    <w:basedOn w:val="Normal"/>
    <w:rsid w:val="00636E95"/>
    <w:pPr>
      <w:numPr>
        <w:ilvl w:val="2"/>
        <w:numId w:val="32"/>
      </w:numPr>
    </w:pPr>
  </w:style>
  <w:style w:type="paragraph" w:customStyle="1" w:styleId="Point2number">
    <w:name w:val="Point 2 (number)"/>
    <w:basedOn w:val="Normal"/>
    <w:rsid w:val="00636E95"/>
    <w:pPr>
      <w:numPr>
        <w:ilvl w:val="4"/>
        <w:numId w:val="32"/>
      </w:numPr>
    </w:pPr>
  </w:style>
  <w:style w:type="paragraph" w:customStyle="1" w:styleId="Point3number">
    <w:name w:val="Point 3 (number)"/>
    <w:basedOn w:val="Normal"/>
    <w:rsid w:val="00636E95"/>
    <w:pPr>
      <w:numPr>
        <w:ilvl w:val="6"/>
        <w:numId w:val="32"/>
      </w:numPr>
    </w:pPr>
  </w:style>
  <w:style w:type="paragraph" w:customStyle="1" w:styleId="Point0letter">
    <w:name w:val="Point 0 (letter)"/>
    <w:basedOn w:val="Normal"/>
    <w:rsid w:val="00636E95"/>
    <w:pPr>
      <w:numPr>
        <w:ilvl w:val="1"/>
        <w:numId w:val="32"/>
      </w:numPr>
    </w:pPr>
  </w:style>
  <w:style w:type="paragraph" w:customStyle="1" w:styleId="Point1letter">
    <w:name w:val="Point 1 (letter)"/>
    <w:basedOn w:val="Normal"/>
    <w:rsid w:val="00636E95"/>
    <w:pPr>
      <w:numPr>
        <w:ilvl w:val="3"/>
        <w:numId w:val="32"/>
      </w:numPr>
    </w:pPr>
  </w:style>
  <w:style w:type="paragraph" w:customStyle="1" w:styleId="Point2letter">
    <w:name w:val="Point 2 (letter)"/>
    <w:basedOn w:val="Normal"/>
    <w:rsid w:val="00636E95"/>
    <w:pPr>
      <w:numPr>
        <w:ilvl w:val="5"/>
        <w:numId w:val="32"/>
      </w:numPr>
    </w:pPr>
  </w:style>
  <w:style w:type="paragraph" w:customStyle="1" w:styleId="Point3letter">
    <w:name w:val="Point 3 (letter)"/>
    <w:basedOn w:val="Normal"/>
    <w:rsid w:val="00636E95"/>
    <w:pPr>
      <w:numPr>
        <w:ilvl w:val="7"/>
        <w:numId w:val="32"/>
      </w:numPr>
    </w:pPr>
  </w:style>
  <w:style w:type="paragraph" w:customStyle="1" w:styleId="Point4letter">
    <w:name w:val="Point 4 (letter)"/>
    <w:basedOn w:val="Normal"/>
    <w:rsid w:val="00636E95"/>
    <w:pPr>
      <w:numPr>
        <w:ilvl w:val="8"/>
        <w:numId w:val="32"/>
      </w:numPr>
    </w:pPr>
  </w:style>
  <w:style w:type="paragraph" w:customStyle="1" w:styleId="Bullet0">
    <w:name w:val="Bullet 0"/>
    <w:basedOn w:val="Normal"/>
    <w:rsid w:val="00636E95"/>
    <w:pPr>
      <w:numPr>
        <w:numId w:val="17"/>
      </w:numPr>
    </w:pPr>
  </w:style>
  <w:style w:type="paragraph" w:customStyle="1" w:styleId="Bullet1">
    <w:name w:val="Bullet 1"/>
    <w:basedOn w:val="Normal"/>
    <w:rsid w:val="00636E95"/>
    <w:pPr>
      <w:numPr>
        <w:numId w:val="18"/>
      </w:numPr>
    </w:pPr>
  </w:style>
  <w:style w:type="paragraph" w:customStyle="1" w:styleId="Bullet2">
    <w:name w:val="Bullet 2"/>
    <w:basedOn w:val="Normal"/>
    <w:rsid w:val="00636E95"/>
    <w:pPr>
      <w:numPr>
        <w:numId w:val="19"/>
      </w:numPr>
    </w:pPr>
  </w:style>
  <w:style w:type="paragraph" w:customStyle="1" w:styleId="Bullet3">
    <w:name w:val="Bullet 3"/>
    <w:basedOn w:val="Normal"/>
    <w:rsid w:val="00636E95"/>
    <w:pPr>
      <w:numPr>
        <w:numId w:val="20"/>
      </w:numPr>
    </w:pPr>
  </w:style>
  <w:style w:type="paragraph" w:customStyle="1" w:styleId="Bullet4">
    <w:name w:val="Bullet 4"/>
    <w:basedOn w:val="Normal"/>
    <w:rsid w:val="00636E95"/>
    <w:pPr>
      <w:numPr>
        <w:numId w:val="21"/>
      </w:numPr>
    </w:pPr>
  </w:style>
  <w:style w:type="paragraph" w:customStyle="1" w:styleId="Annexetitreexpos">
    <w:name w:val="Annexe titre (exposé)"/>
    <w:basedOn w:val="Normal"/>
    <w:next w:val="Normal"/>
    <w:rsid w:val="00636E95"/>
    <w:pPr>
      <w:jc w:val="center"/>
    </w:pPr>
    <w:rPr>
      <w:b/>
      <w:u w:val="single"/>
    </w:rPr>
  </w:style>
  <w:style w:type="paragraph" w:customStyle="1" w:styleId="Annexetitre">
    <w:name w:val="Annexe titre"/>
    <w:basedOn w:val="Normal"/>
    <w:next w:val="Normal"/>
    <w:rsid w:val="00636E95"/>
    <w:pPr>
      <w:jc w:val="center"/>
    </w:pPr>
    <w:rPr>
      <w:b/>
      <w:u w:val="single"/>
    </w:rPr>
  </w:style>
  <w:style w:type="paragraph" w:customStyle="1" w:styleId="Annexetitrefichefinancire">
    <w:name w:val="Annexe titre (fiche financière)"/>
    <w:basedOn w:val="Normal"/>
    <w:next w:val="Normal"/>
    <w:rsid w:val="00636E95"/>
    <w:pPr>
      <w:jc w:val="center"/>
    </w:pPr>
    <w:rPr>
      <w:b/>
      <w:u w:val="single"/>
    </w:rPr>
  </w:style>
  <w:style w:type="paragraph" w:customStyle="1" w:styleId="Applicationdirecte">
    <w:name w:val="Application directe"/>
    <w:basedOn w:val="Normal"/>
    <w:next w:val="Fait"/>
    <w:rsid w:val="00636E95"/>
    <w:pPr>
      <w:spacing w:before="480"/>
    </w:pPr>
  </w:style>
  <w:style w:type="paragraph" w:customStyle="1" w:styleId="Avertissementtitre">
    <w:name w:val="Avertissement titre"/>
    <w:basedOn w:val="Normal"/>
    <w:next w:val="Normal"/>
    <w:rsid w:val="00636E95"/>
    <w:pPr>
      <w:keepNext/>
      <w:spacing w:before="480"/>
    </w:pPr>
    <w:rPr>
      <w:u w:val="single"/>
    </w:rPr>
  </w:style>
  <w:style w:type="paragraph" w:customStyle="1" w:styleId="Confidence">
    <w:name w:val="Confidence"/>
    <w:basedOn w:val="Normal"/>
    <w:next w:val="Normal"/>
    <w:rsid w:val="00636E95"/>
    <w:pPr>
      <w:spacing w:before="360"/>
      <w:jc w:val="center"/>
    </w:pPr>
  </w:style>
  <w:style w:type="paragraph" w:customStyle="1" w:styleId="Confidentialit">
    <w:name w:val="Confidentialité"/>
    <w:basedOn w:val="Normal"/>
    <w:next w:val="TypedudocumentPagedecouverture"/>
    <w:rsid w:val="00636E95"/>
    <w:pPr>
      <w:spacing w:before="240" w:after="240"/>
      <w:ind w:left="5103"/>
      <w:jc w:val="left"/>
    </w:pPr>
    <w:rPr>
      <w:i/>
      <w:sz w:val="32"/>
    </w:rPr>
  </w:style>
  <w:style w:type="paragraph" w:customStyle="1" w:styleId="Considrant">
    <w:name w:val="Considérant"/>
    <w:basedOn w:val="Normal"/>
    <w:rsid w:val="00636E95"/>
    <w:pPr>
      <w:numPr>
        <w:numId w:val="22"/>
      </w:numPr>
    </w:pPr>
  </w:style>
  <w:style w:type="paragraph" w:customStyle="1" w:styleId="Corrigendum">
    <w:name w:val="Corrigendum"/>
    <w:basedOn w:val="Normal"/>
    <w:next w:val="Normal"/>
    <w:rsid w:val="00636E95"/>
    <w:pPr>
      <w:spacing w:before="0" w:after="240"/>
      <w:jc w:val="left"/>
    </w:pPr>
  </w:style>
  <w:style w:type="paragraph" w:customStyle="1" w:styleId="Datedadoption">
    <w:name w:val="Date d'adoption"/>
    <w:basedOn w:val="Normal"/>
    <w:next w:val="Titreobjet"/>
    <w:rsid w:val="00636E95"/>
    <w:pPr>
      <w:spacing w:before="360" w:after="0"/>
      <w:jc w:val="center"/>
    </w:pPr>
    <w:rPr>
      <w:b/>
    </w:rPr>
  </w:style>
  <w:style w:type="paragraph" w:customStyle="1" w:styleId="Emission">
    <w:name w:val="Emission"/>
    <w:basedOn w:val="Normal"/>
    <w:next w:val="Rfrenceinstitutionnelle"/>
    <w:rsid w:val="00636E95"/>
    <w:pPr>
      <w:spacing w:before="0" w:after="0"/>
      <w:ind w:left="5103"/>
      <w:jc w:val="left"/>
    </w:pPr>
  </w:style>
  <w:style w:type="paragraph" w:customStyle="1" w:styleId="Exposdesmotifstitre">
    <w:name w:val="Exposé des motifs titre"/>
    <w:basedOn w:val="Normal"/>
    <w:next w:val="Normal"/>
    <w:rsid w:val="00636E95"/>
    <w:pPr>
      <w:jc w:val="center"/>
    </w:pPr>
    <w:rPr>
      <w:b/>
      <w:u w:val="single"/>
    </w:rPr>
  </w:style>
  <w:style w:type="paragraph" w:customStyle="1" w:styleId="Fait">
    <w:name w:val="Fait à"/>
    <w:basedOn w:val="Normal"/>
    <w:next w:val="Institutionquisigne"/>
    <w:rsid w:val="00636E95"/>
    <w:pPr>
      <w:keepNext/>
      <w:spacing w:after="0"/>
    </w:pPr>
  </w:style>
  <w:style w:type="paragraph" w:customStyle="1" w:styleId="Formuledadoption">
    <w:name w:val="Formule d'adoption"/>
    <w:basedOn w:val="Normal"/>
    <w:next w:val="Titrearticle"/>
    <w:rsid w:val="00636E95"/>
    <w:pPr>
      <w:keepNext/>
    </w:pPr>
  </w:style>
  <w:style w:type="paragraph" w:customStyle="1" w:styleId="Institutionquiagit">
    <w:name w:val="Institution qui agit"/>
    <w:basedOn w:val="Normal"/>
    <w:next w:val="Normal"/>
    <w:rsid w:val="00636E95"/>
    <w:pPr>
      <w:keepNext/>
      <w:spacing w:before="600"/>
    </w:pPr>
  </w:style>
  <w:style w:type="paragraph" w:customStyle="1" w:styleId="Institutionquisigne">
    <w:name w:val="Institution qui signe"/>
    <w:basedOn w:val="Normal"/>
    <w:next w:val="Personnequisigne"/>
    <w:rsid w:val="00636E95"/>
    <w:pPr>
      <w:keepNext/>
      <w:tabs>
        <w:tab w:val="left" w:pos="4252"/>
      </w:tabs>
      <w:spacing w:before="720" w:after="0"/>
    </w:pPr>
    <w:rPr>
      <w:i/>
    </w:rPr>
  </w:style>
  <w:style w:type="paragraph" w:customStyle="1" w:styleId="Langue">
    <w:name w:val="Langue"/>
    <w:basedOn w:val="Normal"/>
    <w:next w:val="Rfrenceinterne"/>
    <w:rsid w:val="00636E95"/>
    <w:pPr>
      <w:framePr w:wrap="around" w:vAnchor="page" w:hAnchor="text" w:xAlign="center" w:y="14741"/>
      <w:spacing w:before="0" w:after="600"/>
      <w:jc w:val="center"/>
    </w:pPr>
    <w:rPr>
      <w:b/>
      <w:caps/>
    </w:rPr>
  </w:style>
  <w:style w:type="paragraph" w:customStyle="1" w:styleId="ManualConsidrant">
    <w:name w:val="Manual Considérant"/>
    <w:basedOn w:val="Normal"/>
    <w:rsid w:val="00636E95"/>
    <w:pPr>
      <w:ind w:left="709" w:hanging="709"/>
    </w:pPr>
  </w:style>
  <w:style w:type="paragraph" w:customStyle="1" w:styleId="Nomdelinstitution">
    <w:name w:val="Nom de l'institution"/>
    <w:basedOn w:val="Normal"/>
    <w:next w:val="Emission"/>
    <w:rsid w:val="00636E95"/>
    <w:pPr>
      <w:spacing w:before="0" w:after="0"/>
      <w:jc w:val="left"/>
    </w:pPr>
    <w:rPr>
      <w:rFonts w:ascii="Arial" w:hAnsi="Arial" w:cs="Arial"/>
    </w:rPr>
  </w:style>
  <w:style w:type="paragraph" w:customStyle="1" w:styleId="Personnequisigne">
    <w:name w:val="Personne qui signe"/>
    <w:basedOn w:val="Normal"/>
    <w:next w:val="Institutionquisigne"/>
    <w:rsid w:val="00636E95"/>
    <w:pPr>
      <w:tabs>
        <w:tab w:val="left" w:pos="4252"/>
      </w:tabs>
      <w:spacing w:before="0" w:after="0"/>
      <w:jc w:val="left"/>
    </w:pPr>
    <w:rPr>
      <w:i/>
    </w:rPr>
  </w:style>
  <w:style w:type="paragraph" w:customStyle="1" w:styleId="Rfrenceinstitutionnelle">
    <w:name w:val="Référence institutionnelle"/>
    <w:basedOn w:val="Normal"/>
    <w:next w:val="Confidentialit"/>
    <w:rsid w:val="00636E95"/>
    <w:pPr>
      <w:spacing w:before="0" w:after="240"/>
      <w:ind w:left="5103"/>
      <w:jc w:val="left"/>
    </w:pPr>
  </w:style>
  <w:style w:type="paragraph" w:customStyle="1" w:styleId="Rfrenceinterinstitutionnelle">
    <w:name w:val="Référence interinstitutionnelle"/>
    <w:basedOn w:val="Normal"/>
    <w:next w:val="Statut"/>
    <w:rsid w:val="00636E95"/>
    <w:pPr>
      <w:spacing w:before="0" w:after="0"/>
      <w:ind w:left="5103"/>
      <w:jc w:val="left"/>
    </w:pPr>
  </w:style>
  <w:style w:type="paragraph" w:customStyle="1" w:styleId="Rfrenceinterne">
    <w:name w:val="Référence interne"/>
    <w:basedOn w:val="Normal"/>
    <w:next w:val="Rfrenceinterinstitutionnelle"/>
    <w:rsid w:val="00636E95"/>
    <w:pPr>
      <w:spacing w:before="0" w:after="0"/>
      <w:ind w:left="5103"/>
      <w:jc w:val="left"/>
    </w:pPr>
  </w:style>
  <w:style w:type="paragraph" w:customStyle="1" w:styleId="Sous-titreobjet">
    <w:name w:val="Sous-titre objet"/>
    <w:basedOn w:val="Normal"/>
    <w:rsid w:val="00636E95"/>
    <w:pPr>
      <w:spacing w:before="0" w:after="0"/>
      <w:jc w:val="center"/>
    </w:pPr>
    <w:rPr>
      <w:b/>
    </w:rPr>
  </w:style>
  <w:style w:type="paragraph" w:customStyle="1" w:styleId="Statut">
    <w:name w:val="Statut"/>
    <w:basedOn w:val="Normal"/>
    <w:next w:val="Typedudocument"/>
    <w:rsid w:val="00636E95"/>
    <w:pPr>
      <w:spacing w:before="360" w:after="0"/>
      <w:jc w:val="center"/>
    </w:pPr>
  </w:style>
  <w:style w:type="paragraph" w:customStyle="1" w:styleId="Titrearticle">
    <w:name w:val="Titre article"/>
    <w:basedOn w:val="Normal"/>
    <w:next w:val="Normal"/>
    <w:rsid w:val="00636E95"/>
    <w:pPr>
      <w:keepNext/>
      <w:spacing w:before="360"/>
      <w:jc w:val="center"/>
    </w:pPr>
    <w:rPr>
      <w:i/>
    </w:rPr>
  </w:style>
  <w:style w:type="paragraph" w:customStyle="1" w:styleId="Titreobjet">
    <w:name w:val="Titre objet"/>
    <w:basedOn w:val="Normal"/>
    <w:next w:val="Sous-titreobjet"/>
    <w:rsid w:val="00636E95"/>
    <w:pPr>
      <w:spacing w:before="360" w:after="360"/>
      <w:jc w:val="center"/>
    </w:pPr>
    <w:rPr>
      <w:b/>
    </w:rPr>
  </w:style>
  <w:style w:type="paragraph" w:customStyle="1" w:styleId="Typedudocument">
    <w:name w:val="Type du document"/>
    <w:basedOn w:val="Normal"/>
    <w:next w:val="Titreobjet"/>
    <w:link w:val="TypedudocumentChar"/>
    <w:rsid w:val="00636E95"/>
    <w:pPr>
      <w:spacing w:before="360" w:after="0"/>
      <w:jc w:val="center"/>
    </w:pPr>
    <w:rPr>
      <w:b/>
    </w:rPr>
  </w:style>
  <w:style w:type="character" w:customStyle="1" w:styleId="Added">
    <w:name w:val="Added"/>
    <w:rsid w:val="00636E95"/>
    <w:rPr>
      <w:b/>
      <w:u w:val="single"/>
      <w:shd w:val="clear" w:color="auto" w:fill="auto"/>
    </w:rPr>
  </w:style>
  <w:style w:type="character" w:customStyle="1" w:styleId="Deleted">
    <w:name w:val="Deleted"/>
    <w:rsid w:val="00636E95"/>
    <w:rPr>
      <w:strike/>
      <w:dstrike w:val="0"/>
      <w:shd w:val="clear" w:color="auto" w:fill="auto"/>
    </w:rPr>
  </w:style>
  <w:style w:type="paragraph" w:customStyle="1" w:styleId="Address">
    <w:name w:val="Address"/>
    <w:basedOn w:val="Normal"/>
    <w:next w:val="Normal"/>
    <w:rsid w:val="00636E95"/>
    <w:pPr>
      <w:keepLines/>
      <w:spacing w:line="360" w:lineRule="auto"/>
      <w:ind w:left="3402"/>
      <w:jc w:val="left"/>
    </w:pPr>
  </w:style>
  <w:style w:type="paragraph" w:customStyle="1" w:styleId="Objetexterne">
    <w:name w:val="Objet externe"/>
    <w:basedOn w:val="Normal"/>
    <w:next w:val="Normal"/>
    <w:rsid w:val="00636E95"/>
    <w:rPr>
      <w:i/>
      <w:caps/>
    </w:rPr>
  </w:style>
  <w:style w:type="paragraph" w:customStyle="1" w:styleId="Pagedecouverture">
    <w:name w:val="Page de couverture"/>
    <w:basedOn w:val="Normal"/>
    <w:next w:val="Normal"/>
    <w:rsid w:val="00636E95"/>
    <w:pPr>
      <w:spacing w:before="0" w:after="0"/>
    </w:pPr>
  </w:style>
  <w:style w:type="paragraph" w:customStyle="1" w:styleId="Supertitre">
    <w:name w:val="Supertitre"/>
    <w:basedOn w:val="Normal"/>
    <w:next w:val="Normal"/>
    <w:rsid w:val="00636E95"/>
    <w:pPr>
      <w:spacing w:before="0" w:after="600"/>
      <w:jc w:val="center"/>
    </w:pPr>
    <w:rPr>
      <w:b/>
    </w:rPr>
  </w:style>
  <w:style w:type="paragraph" w:customStyle="1" w:styleId="Languesfaisantfoi">
    <w:name w:val="Langues faisant foi"/>
    <w:basedOn w:val="Normal"/>
    <w:next w:val="Normal"/>
    <w:rsid w:val="00636E95"/>
    <w:pPr>
      <w:spacing w:before="360" w:after="0"/>
      <w:jc w:val="center"/>
    </w:pPr>
  </w:style>
  <w:style w:type="paragraph" w:customStyle="1" w:styleId="Rfrencecroise">
    <w:name w:val="Référence croisée"/>
    <w:basedOn w:val="Normal"/>
    <w:rsid w:val="00636E95"/>
    <w:pPr>
      <w:spacing w:before="0" w:after="0"/>
      <w:jc w:val="center"/>
    </w:pPr>
  </w:style>
  <w:style w:type="paragraph" w:customStyle="1" w:styleId="Fichefinanciretitre">
    <w:name w:val="Fiche financière titre"/>
    <w:basedOn w:val="Normal"/>
    <w:next w:val="Normal"/>
    <w:rsid w:val="00636E95"/>
    <w:pPr>
      <w:jc w:val="center"/>
    </w:pPr>
    <w:rPr>
      <w:b/>
      <w:u w:val="single"/>
    </w:rPr>
  </w:style>
  <w:style w:type="paragraph" w:customStyle="1" w:styleId="DatedadoptionPagedecouverture">
    <w:name w:val="Date d'adoption (Page de couverture)"/>
    <w:basedOn w:val="Datedadoption"/>
    <w:next w:val="TitreobjetPagedecouverture"/>
    <w:rsid w:val="00636E95"/>
  </w:style>
  <w:style w:type="paragraph" w:customStyle="1" w:styleId="RfrenceinterinstitutionnellePagedecouverture">
    <w:name w:val="Référence interinstitutionnelle (Page de couverture)"/>
    <w:basedOn w:val="Rfrenceinterinstitutionnelle"/>
    <w:next w:val="Confidentialit"/>
    <w:rsid w:val="00636E95"/>
  </w:style>
  <w:style w:type="paragraph" w:customStyle="1" w:styleId="Sous-titreobjetPagedecouverture">
    <w:name w:val="Sous-titre objet (Page de couverture)"/>
    <w:basedOn w:val="Sous-titreobjet"/>
    <w:rsid w:val="00636E95"/>
  </w:style>
  <w:style w:type="paragraph" w:customStyle="1" w:styleId="StatutPagedecouverture">
    <w:name w:val="Statut (Page de couverture)"/>
    <w:basedOn w:val="Statut"/>
    <w:next w:val="TypedudocumentPagedecouverture"/>
    <w:rsid w:val="00636E95"/>
  </w:style>
  <w:style w:type="paragraph" w:customStyle="1" w:styleId="TitreobjetPagedecouverture">
    <w:name w:val="Titre objet (Page de couverture)"/>
    <w:basedOn w:val="Titreobjet"/>
    <w:next w:val="Sous-titreobjetPagedecouverture"/>
    <w:rsid w:val="00636E95"/>
  </w:style>
  <w:style w:type="paragraph" w:customStyle="1" w:styleId="TypedudocumentPagedecouverture">
    <w:name w:val="Type du document (Page de couverture)"/>
    <w:basedOn w:val="Typedudocument"/>
    <w:next w:val="TitreobjetPagedecouverture"/>
    <w:rsid w:val="00636E95"/>
  </w:style>
  <w:style w:type="paragraph" w:customStyle="1" w:styleId="Volume">
    <w:name w:val="Volume"/>
    <w:basedOn w:val="Normal"/>
    <w:next w:val="Confidentialit"/>
    <w:rsid w:val="00636E95"/>
    <w:pPr>
      <w:spacing w:before="0" w:after="240"/>
      <w:ind w:left="5103"/>
      <w:jc w:val="left"/>
    </w:pPr>
  </w:style>
  <w:style w:type="paragraph" w:customStyle="1" w:styleId="IntrtEEE">
    <w:name w:val="Intérêt EEE"/>
    <w:basedOn w:val="Languesfaisantfoi"/>
    <w:next w:val="Normal"/>
    <w:rsid w:val="00636E95"/>
    <w:pPr>
      <w:spacing w:after="240"/>
    </w:pPr>
  </w:style>
  <w:style w:type="paragraph" w:customStyle="1" w:styleId="Accompagnant">
    <w:name w:val="Accompagnant"/>
    <w:basedOn w:val="Normal"/>
    <w:next w:val="Typeacteprincipal"/>
    <w:rsid w:val="00636E95"/>
    <w:pPr>
      <w:spacing w:before="0" w:after="240"/>
      <w:jc w:val="center"/>
    </w:pPr>
    <w:rPr>
      <w:b/>
      <w:i/>
    </w:rPr>
  </w:style>
  <w:style w:type="paragraph" w:customStyle="1" w:styleId="Typeacteprincipal">
    <w:name w:val="Type acte principal"/>
    <w:basedOn w:val="Normal"/>
    <w:next w:val="Objetacteprincipal"/>
    <w:rsid w:val="00636E95"/>
    <w:pPr>
      <w:spacing w:before="0" w:after="240"/>
      <w:jc w:val="center"/>
    </w:pPr>
    <w:rPr>
      <w:b/>
    </w:rPr>
  </w:style>
  <w:style w:type="paragraph" w:customStyle="1" w:styleId="Objetacteprincipal">
    <w:name w:val="Objet acte principal"/>
    <w:basedOn w:val="Normal"/>
    <w:next w:val="Titrearticle"/>
    <w:rsid w:val="00636E95"/>
    <w:pPr>
      <w:spacing w:before="0" w:after="360"/>
      <w:jc w:val="center"/>
    </w:pPr>
    <w:rPr>
      <w:b/>
    </w:rPr>
  </w:style>
  <w:style w:type="paragraph" w:customStyle="1" w:styleId="IntrtEEEPagedecouverture">
    <w:name w:val="Intérêt EEE (Page de couverture)"/>
    <w:basedOn w:val="IntrtEEE"/>
    <w:next w:val="Rfrencecroise"/>
    <w:rsid w:val="00636E95"/>
  </w:style>
  <w:style w:type="paragraph" w:customStyle="1" w:styleId="AccompagnantPagedecouverture">
    <w:name w:val="Accompagnant (Page de couverture)"/>
    <w:basedOn w:val="Accompagnant"/>
    <w:next w:val="TypeacteprincipalPagedecouverture"/>
    <w:rsid w:val="00636E95"/>
  </w:style>
  <w:style w:type="paragraph" w:customStyle="1" w:styleId="TypeacteprincipalPagedecouverture">
    <w:name w:val="Type acte principal (Page de couverture)"/>
    <w:basedOn w:val="Typeacteprincipal"/>
    <w:next w:val="ObjetacteprincipalPagedecouverture"/>
    <w:rsid w:val="00636E95"/>
  </w:style>
  <w:style w:type="paragraph" w:customStyle="1" w:styleId="ObjetacteprincipalPagedecouverture">
    <w:name w:val="Objet acte principal (Page de couverture)"/>
    <w:basedOn w:val="Objetacteprincipal"/>
    <w:next w:val="Rfrencecroise"/>
    <w:rsid w:val="00636E95"/>
  </w:style>
  <w:style w:type="paragraph" w:customStyle="1" w:styleId="LanguesfaisantfoiPagedecouverture">
    <w:name w:val="Langues faisant foi (Page de couverture)"/>
    <w:basedOn w:val="Normal"/>
    <w:next w:val="Normal"/>
    <w:rsid w:val="00636E95"/>
    <w:pPr>
      <w:spacing w:before="360" w:after="0"/>
      <w:jc w:val="center"/>
    </w:pPr>
  </w:style>
  <w:style w:type="paragraph" w:customStyle="1" w:styleId="FooterCoverPage">
    <w:name w:val="Footer Cover Page"/>
    <w:basedOn w:val="Normal"/>
    <w:link w:val="FooterCoverPageChar"/>
    <w:rsid w:val="00636E95"/>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sid w:val="00636E95"/>
    <w:rPr>
      <w:rFonts w:ascii="Times New Roman" w:eastAsia="Times New Roman" w:hAnsi="Times New Roman" w:cs="Times New Roman"/>
      <w:b/>
      <w:sz w:val="24"/>
      <w:szCs w:val="20"/>
      <w:lang w:eastAsia="hr-HR"/>
    </w:rPr>
  </w:style>
  <w:style w:type="character" w:customStyle="1" w:styleId="FooterCoverPageChar">
    <w:name w:val="Footer Cover Page Char"/>
    <w:link w:val="FooterCoverPage"/>
    <w:rsid w:val="00636E95"/>
    <w:rPr>
      <w:rFonts w:ascii="Times New Roman" w:eastAsia="Times New Roman" w:hAnsi="Times New Roman" w:cs="Times New Roman"/>
      <w:sz w:val="24"/>
      <w:szCs w:val="20"/>
      <w:lang w:eastAsia="hr-HR"/>
    </w:rPr>
  </w:style>
  <w:style w:type="paragraph" w:customStyle="1" w:styleId="HeaderCoverPage">
    <w:name w:val="Header Cover Page"/>
    <w:basedOn w:val="Normal"/>
    <w:link w:val="HeaderCoverPageChar"/>
    <w:rsid w:val="00636E95"/>
    <w:pPr>
      <w:tabs>
        <w:tab w:val="center" w:pos="4535"/>
        <w:tab w:val="right" w:pos="9071"/>
      </w:tabs>
      <w:spacing w:before="0"/>
    </w:pPr>
  </w:style>
  <w:style w:type="character" w:customStyle="1" w:styleId="HeaderCoverPageChar">
    <w:name w:val="Header Cover Page Char"/>
    <w:link w:val="HeaderCoverPage"/>
    <w:rsid w:val="00636E95"/>
    <w:rPr>
      <w:rFonts w:ascii="Times New Roman" w:eastAsia="Times New Roman" w:hAnsi="Times New Roman" w:cs="Times New Roman"/>
      <w:sz w:val="24"/>
      <w:szCs w:val="20"/>
      <w:lang w:eastAsia="hr-HR"/>
    </w:rPr>
  </w:style>
  <w:style w:type="character" w:styleId="Strong">
    <w:name w:val="Strong"/>
    <w:uiPriority w:val="22"/>
    <w:qFormat/>
    <w:rsid w:val="00636E95"/>
    <w:rPr>
      <w:b/>
      <w:bCs/>
      <w:shd w:val="clear" w:color="auto" w:fill="auto"/>
    </w:rPr>
  </w:style>
  <w:style w:type="character" w:customStyle="1" w:styleId="GuidanceChar">
    <w:name w:val="Guidance Char"/>
    <w:link w:val="Guidance"/>
    <w:locked/>
    <w:rsid w:val="00636E95"/>
    <w:rPr>
      <w:rFonts w:ascii="Arial" w:eastAsia="SimSun" w:hAnsi="Arial" w:cs="Arial"/>
      <w:i/>
      <w:iCs/>
      <w:color w:val="7F7F7F"/>
      <w:sz w:val="24"/>
      <w:lang w:val="hr-HR" w:eastAsia="hr-HR"/>
    </w:rPr>
  </w:style>
  <w:style w:type="paragraph" w:customStyle="1" w:styleId="Guidance">
    <w:name w:val="Guidance"/>
    <w:basedOn w:val="Normal"/>
    <w:link w:val="GuidanceChar"/>
    <w:qFormat/>
    <w:rsid w:val="00636E95"/>
    <w:pPr>
      <w:spacing w:before="0" w:line="240" w:lineRule="atLeast"/>
      <w:ind w:left="720"/>
      <w:jc w:val="left"/>
    </w:pPr>
    <w:rPr>
      <w:rFonts w:ascii="Arial" w:eastAsia="SimSun" w:hAnsi="Arial" w:cs="Arial"/>
      <w:i/>
      <w:iCs/>
      <w:color w:val="7F7F7F"/>
      <w:szCs w:val="22"/>
    </w:rPr>
  </w:style>
  <w:style w:type="character" w:customStyle="1" w:styleId="ListParagraphChar">
    <w:name w:val="List Paragraph Char"/>
    <w:link w:val="ListParagraph"/>
    <w:uiPriority w:val="34"/>
    <w:locked/>
    <w:rsid w:val="00636E95"/>
    <w:rPr>
      <w:rFonts w:ascii="Calibri" w:eastAsia="Calibri" w:hAnsi="Calibri" w:cs="Calibri"/>
      <w:lang w:eastAsia="hr-HR"/>
    </w:rPr>
  </w:style>
  <w:style w:type="numbering" w:customStyle="1" w:styleId="NoList1">
    <w:name w:val="No List1"/>
    <w:next w:val="NoList"/>
    <w:uiPriority w:val="99"/>
    <w:semiHidden/>
    <w:unhideWhenUsed/>
    <w:rsid w:val="00636E95"/>
  </w:style>
  <w:style w:type="numbering" w:customStyle="1" w:styleId="NoList2">
    <w:name w:val="No List2"/>
    <w:next w:val="NoList"/>
    <w:uiPriority w:val="99"/>
    <w:semiHidden/>
    <w:unhideWhenUsed/>
    <w:rsid w:val="00636E95"/>
  </w:style>
  <w:style w:type="paragraph" w:customStyle="1" w:styleId="AddressTL">
    <w:name w:val="AddressTL"/>
    <w:basedOn w:val="Normal"/>
    <w:next w:val="Normal"/>
    <w:rsid w:val="00636E95"/>
    <w:pPr>
      <w:spacing w:before="0" w:after="720" w:line="276" w:lineRule="auto"/>
      <w:jc w:val="left"/>
    </w:pPr>
    <w:rPr>
      <w:rFonts w:ascii="Calibri" w:eastAsia="Calibri" w:hAnsi="Calibri"/>
      <w:sz w:val="22"/>
      <w:szCs w:val="22"/>
    </w:rPr>
  </w:style>
  <w:style w:type="paragraph" w:customStyle="1" w:styleId="AddressTR">
    <w:name w:val="AddressTR"/>
    <w:basedOn w:val="Normal"/>
    <w:next w:val="Normal"/>
    <w:rsid w:val="00636E95"/>
    <w:pPr>
      <w:spacing w:before="0" w:after="720" w:line="276" w:lineRule="auto"/>
      <w:ind w:left="5103"/>
      <w:jc w:val="left"/>
    </w:pPr>
    <w:rPr>
      <w:rFonts w:ascii="Calibri" w:eastAsia="Calibri" w:hAnsi="Calibri"/>
      <w:sz w:val="22"/>
      <w:szCs w:val="22"/>
    </w:rPr>
  </w:style>
  <w:style w:type="paragraph" w:styleId="BlockText">
    <w:name w:val="Block Text"/>
    <w:basedOn w:val="Normal"/>
    <w:rsid w:val="00636E95"/>
    <w:pPr>
      <w:spacing w:before="0" w:line="276" w:lineRule="auto"/>
      <w:ind w:left="1440" w:right="1440"/>
      <w:jc w:val="left"/>
    </w:pPr>
    <w:rPr>
      <w:rFonts w:ascii="Calibri" w:eastAsia="Calibri" w:hAnsi="Calibri"/>
      <w:sz w:val="22"/>
      <w:szCs w:val="22"/>
    </w:rPr>
  </w:style>
  <w:style w:type="paragraph" w:styleId="BodyText">
    <w:name w:val="Body Text"/>
    <w:basedOn w:val="Normal"/>
    <w:link w:val="BodyTextChar"/>
    <w:rsid w:val="00636E95"/>
    <w:pPr>
      <w:spacing w:before="0" w:line="276" w:lineRule="auto"/>
      <w:jc w:val="left"/>
    </w:pPr>
    <w:rPr>
      <w:rFonts w:ascii="Calibri" w:eastAsia="Calibri" w:hAnsi="Calibri"/>
      <w:sz w:val="22"/>
      <w:szCs w:val="22"/>
    </w:rPr>
  </w:style>
  <w:style w:type="character" w:customStyle="1" w:styleId="BodyTextChar">
    <w:name w:val="Body Text Char"/>
    <w:basedOn w:val="DefaultParagraphFont"/>
    <w:link w:val="BodyText"/>
    <w:rsid w:val="00636E95"/>
    <w:rPr>
      <w:rFonts w:ascii="Calibri" w:eastAsia="Calibri" w:hAnsi="Calibri" w:cs="Times New Roman"/>
    </w:rPr>
  </w:style>
  <w:style w:type="paragraph" w:styleId="BodyText2">
    <w:name w:val="Body Text 2"/>
    <w:basedOn w:val="Normal"/>
    <w:link w:val="BodyText2Char"/>
    <w:rsid w:val="00636E95"/>
    <w:pPr>
      <w:spacing w:before="0" w:line="480" w:lineRule="auto"/>
      <w:jc w:val="left"/>
    </w:pPr>
    <w:rPr>
      <w:rFonts w:ascii="Calibri" w:eastAsia="Calibri" w:hAnsi="Calibri"/>
      <w:sz w:val="22"/>
      <w:szCs w:val="22"/>
    </w:rPr>
  </w:style>
  <w:style w:type="character" w:customStyle="1" w:styleId="BodyText2Char">
    <w:name w:val="Body Text 2 Char"/>
    <w:basedOn w:val="DefaultParagraphFont"/>
    <w:link w:val="BodyText2"/>
    <w:rsid w:val="00636E95"/>
    <w:rPr>
      <w:rFonts w:ascii="Calibri" w:eastAsia="Calibri" w:hAnsi="Calibri" w:cs="Times New Roman"/>
    </w:rPr>
  </w:style>
  <w:style w:type="paragraph" w:styleId="BodyText3">
    <w:name w:val="Body Text 3"/>
    <w:basedOn w:val="Normal"/>
    <w:link w:val="BodyText3Char"/>
    <w:rsid w:val="00636E95"/>
    <w:pPr>
      <w:spacing w:before="0" w:line="276" w:lineRule="auto"/>
      <w:jc w:val="left"/>
    </w:pPr>
    <w:rPr>
      <w:rFonts w:ascii="Calibri" w:eastAsia="Calibri" w:hAnsi="Calibri"/>
      <w:sz w:val="16"/>
      <w:szCs w:val="22"/>
    </w:rPr>
  </w:style>
  <w:style w:type="character" w:customStyle="1" w:styleId="BodyText3Char">
    <w:name w:val="Body Text 3 Char"/>
    <w:basedOn w:val="DefaultParagraphFont"/>
    <w:link w:val="BodyText3"/>
    <w:rsid w:val="00636E95"/>
    <w:rPr>
      <w:rFonts w:ascii="Calibri" w:eastAsia="Calibri" w:hAnsi="Calibri" w:cs="Times New Roman"/>
      <w:sz w:val="16"/>
    </w:rPr>
  </w:style>
  <w:style w:type="paragraph" w:styleId="BodyTextFirstIndent">
    <w:name w:val="Body Text First Indent"/>
    <w:basedOn w:val="BodyText"/>
    <w:link w:val="BodyTextFirstIndentChar"/>
    <w:rsid w:val="00636E95"/>
    <w:pPr>
      <w:ind w:firstLine="210"/>
    </w:pPr>
  </w:style>
  <w:style w:type="character" w:customStyle="1" w:styleId="BodyTextFirstIndentChar">
    <w:name w:val="Body Text First Indent Char"/>
    <w:basedOn w:val="BodyTextChar"/>
    <w:link w:val="BodyTextFirstIndent"/>
    <w:rsid w:val="00636E95"/>
    <w:rPr>
      <w:rFonts w:ascii="Calibri" w:eastAsia="Calibri" w:hAnsi="Calibri" w:cs="Times New Roman"/>
    </w:rPr>
  </w:style>
  <w:style w:type="paragraph" w:styleId="BodyTextIndent">
    <w:name w:val="Body Text Indent"/>
    <w:basedOn w:val="Normal"/>
    <w:link w:val="BodyTextIndentChar"/>
    <w:rsid w:val="00636E95"/>
    <w:pPr>
      <w:spacing w:before="0" w:line="276" w:lineRule="auto"/>
      <w:ind w:left="283"/>
      <w:jc w:val="left"/>
    </w:pPr>
    <w:rPr>
      <w:rFonts w:ascii="Calibri" w:eastAsia="Calibri" w:hAnsi="Calibri"/>
      <w:sz w:val="22"/>
      <w:szCs w:val="22"/>
    </w:rPr>
  </w:style>
  <w:style w:type="character" w:customStyle="1" w:styleId="BodyTextIndentChar">
    <w:name w:val="Body Text Indent Char"/>
    <w:basedOn w:val="DefaultParagraphFont"/>
    <w:link w:val="BodyTextIndent"/>
    <w:rsid w:val="00636E95"/>
    <w:rPr>
      <w:rFonts w:ascii="Calibri" w:eastAsia="Calibri" w:hAnsi="Calibri" w:cs="Times New Roman"/>
    </w:rPr>
  </w:style>
  <w:style w:type="paragraph" w:styleId="BodyTextFirstIndent2">
    <w:name w:val="Body Text First Indent 2"/>
    <w:basedOn w:val="BodyTextIndent"/>
    <w:link w:val="BodyTextFirstIndent2Char"/>
    <w:rsid w:val="00636E95"/>
    <w:pPr>
      <w:ind w:firstLine="210"/>
    </w:pPr>
  </w:style>
  <w:style w:type="character" w:customStyle="1" w:styleId="BodyTextFirstIndent2Char">
    <w:name w:val="Body Text First Indent 2 Char"/>
    <w:basedOn w:val="BodyTextIndentChar"/>
    <w:link w:val="BodyTextFirstIndent2"/>
    <w:rsid w:val="00636E95"/>
    <w:rPr>
      <w:rFonts w:ascii="Calibri" w:eastAsia="Calibri" w:hAnsi="Calibri" w:cs="Times New Roman"/>
    </w:rPr>
  </w:style>
  <w:style w:type="paragraph" w:styleId="BodyTextIndent2">
    <w:name w:val="Body Text Indent 2"/>
    <w:basedOn w:val="Normal"/>
    <w:link w:val="BodyTextIndent2Char"/>
    <w:rsid w:val="00636E95"/>
    <w:pPr>
      <w:spacing w:before="0" w:line="480" w:lineRule="auto"/>
      <w:ind w:left="283"/>
      <w:jc w:val="left"/>
    </w:pPr>
    <w:rPr>
      <w:rFonts w:ascii="Calibri" w:eastAsia="Calibri" w:hAnsi="Calibri"/>
      <w:sz w:val="22"/>
      <w:szCs w:val="22"/>
    </w:rPr>
  </w:style>
  <w:style w:type="character" w:customStyle="1" w:styleId="BodyTextIndent2Char">
    <w:name w:val="Body Text Indent 2 Char"/>
    <w:basedOn w:val="DefaultParagraphFont"/>
    <w:link w:val="BodyTextIndent2"/>
    <w:rsid w:val="00636E95"/>
    <w:rPr>
      <w:rFonts w:ascii="Calibri" w:eastAsia="Calibri" w:hAnsi="Calibri" w:cs="Times New Roman"/>
    </w:rPr>
  </w:style>
  <w:style w:type="paragraph" w:styleId="BodyTextIndent3">
    <w:name w:val="Body Text Indent 3"/>
    <w:basedOn w:val="Normal"/>
    <w:link w:val="BodyTextIndent3Char"/>
    <w:rsid w:val="00636E95"/>
    <w:pPr>
      <w:spacing w:before="0" w:line="276" w:lineRule="auto"/>
      <w:ind w:left="283"/>
      <w:jc w:val="left"/>
    </w:pPr>
    <w:rPr>
      <w:rFonts w:ascii="Calibri" w:eastAsia="Calibri" w:hAnsi="Calibri"/>
      <w:sz w:val="16"/>
      <w:szCs w:val="22"/>
    </w:rPr>
  </w:style>
  <w:style w:type="character" w:customStyle="1" w:styleId="BodyTextIndent3Char">
    <w:name w:val="Body Text Indent 3 Char"/>
    <w:basedOn w:val="DefaultParagraphFont"/>
    <w:link w:val="BodyTextIndent3"/>
    <w:rsid w:val="00636E95"/>
    <w:rPr>
      <w:rFonts w:ascii="Calibri" w:eastAsia="Calibri" w:hAnsi="Calibri" w:cs="Times New Roman"/>
      <w:sz w:val="16"/>
    </w:rPr>
  </w:style>
  <w:style w:type="paragraph" w:styleId="Closing">
    <w:name w:val="Closing"/>
    <w:basedOn w:val="Normal"/>
    <w:next w:val="Signature"/>
    <w:link w:val="ClosingChar"/>
    <w:rsid w:val="00636E95"/>
    <w:pPr>
      <w:tabs>
        <w:tab w:val="left" w:pos="5103"/>
      </w:tabs>
      <w:spacing w:before="240" w:after="200" w:line="276" w:lineRule="auto"/>
      <w:ind w:left="5103"/>
      <w:jc w:val="left"/>
    </w:pPr>
    <w:rPr>
      <w:rFonts w:ascii="Calibri" w:eastAsia="Calibri" w:hAnsi="Calibri"/>
      <w:sz w:val="22"/>
      <w:szCs w:val="22"/>
    </w:rPr>
  </w:style>
  <w:style w:type="character" w:customStyle="1" w:styleId="ClosingChar">
    <w:name w:val="Closing Char"/>
    <w:basedOn w:val="DefaultParagraphFont"/>
    <w:link w:val="Closing"/>
    <w:rsid w:val="00636E95"/>
    <w:rPr>
      <w:rFonts w:ascii="Calibri" w:eastAsia="Calibri" w:hAnsi="Calibri" w:cs="Times New Roman"/>
    </w:rPr>
  </w:style>
  <w:style w:type="paragraph" w:styleId="Signature">
    <w:name w:val="Signature"/>
    <w:basedOn w:val="Normal"/>
    <w:next w:val="Enclosures"/>
    <w:link w:val="SignatureChar"/>
    <w:rsid w:val="00636E95"/>
    <w:pPr>
      <w:tabs>
        <w:tab w:val="left" w:pos="5103"/>
      </w:tabs>
      <w:spacing w:before="1200" w:after="0" w:line="276" w:lineRule="auto"/>
      <w:ind w:left="5103"/>
      <w:jc w:val="center"/>
    </w:pPr>
    <w:rPr>
      <w:rFonts w:ascii="Calibri" w:eastAsia="Calibri" w:hAnsi="Calibri"/>
      <w:sz w:val="22"/>
      <w:szCs w:val="22"/>
    </w:rPr>
  </w:style>
  <w:style w:type="character" w:customStyle="1" w:styleId="SignatureChar">
    <w:name w:val="Signature Char"/>
    <w:basedOn w:val="DefaultParagraphFont"/>
    <w:link w:val="Signature"/>
    <w:rsid w:val="00636E95"/>
    <w:rPr>
      <w:rFonts w:ascii="Calibri" w:eastAsia="Calibri" w:hAnsi="Calibri" w:cs="Times New Roman"/>
    </w:rPr>
  </w:style>
  <w:style w:type="paragraph" w:customStyle="1" w:styleId="Enclosures">
    <w:name w:val="Enclosures"/>
    <w:basedOn w:val="Normal"/>
    <w:next w:val="Participants"/>
    <w:rsid w:val="00636E95"/>
    <w:pPr>
      <w:keepNext/>
      <w:keepLines/>
      <w:tabs>
        <w:tab w:val="left" w:pos="5642"/>
      </w:tabs>
      <w:spacing w:before="480" w:after="0" w:line="276" w:lineRule="auto"/>
      <w:ind w:left="1792" w:hanging="1792"/>
      <w:jc w:val="left"/>
    </w:pPr>
    <w:rPr>
      <w:rFonts w:ascii="Calibri" w:eastAsia="Calibri" w:hAnsi="Calibri"/>
      <w:sz w:val="22"/>
      <w:szCs w:val="22"/>
    </w:rPr>
  </w:style>
  <w:style w:type="paragraph" w:customStyle="1" w:styleId="Participants">
    <w:name w:val="Participants"/>
    <w:basedOn w:val="Normal"/>
    <w:next w:val="Copies"/>
    <w:rsid w:val="00636E95"/>
    <w:pPr>
      <w:tabs>
        <w:tab w:val="left" w:pos="2512"/>
        <w:tab w:val="left" w:pos="2762"/>
        <w:tab w:val="left" w:pos="5642"/>
        <w:tab w:val="left" w:pos="6362"/>
        <w:tab w:val="left" w:pos="6720"/>
      </w:tabs>
      <w:spacing w:before="480" w:after="0" w:line="276" w:lineRule="auto"/>
      <w:ind w:left="1792" w:hanging="1792"/>
      <w:jc w:val="left"/>
    </w:pPr>
    <w:rPr>
      <w:rFonts w:ascii="Calibri" w:eastAsia="Calibri" w:hAnsi="Calibri"/>
      <w:sz w:val="22"/>
      <w:szCs w:val="22"/>
    </w:rPr>
  </w:style>
  <w:style w:type="paragraph" w:customStyle="1" w:styleId="Copies">
    <w:name w:val="Copies"/>
    <w:basedOn w:val="Normal"/>
    <w:next w:val="Normal"/>
    <w:rsid w:val="00636E95"/>
    <w:pPr>
      <w:tabs>
        <w:tab w:val="left" w:pos="2512"/>
        <w:tab w:val="left" w:pos="2762"/>
        <w:tab w:val="left" w:pos="5642"/>
        <w:tab w:val="left" w:pos="6362"/>
        <w:tab w:val="left" w:pos="6720"/>
      </w:tabs>
      <w:spacing w:before="480" w:after="0" w:line="276" w:lineRule="auto"/>
      <w:ind w:left="1792" w:hanging="1792"/>
      <w:jc w:val="left"/>
    </w:pPr>
    <w:rPr>
      <w:rFonts w:ascii="Calibri" w:eastAsia="Calibri" w:hAnsi="Calibri"/>
      <w:sz w:val="22"/>
      <w:szCs w:val="22"/>
    </w:rPr>
  </w:style>
  <w:style w:type="paragraph" w:styleId="Date">
    <w:name w:val="Date"/>
    <w:basedOn w:val="Normal"/>
    <w:next w:val="References"/>
    <w:link w:val="DateChar"/>
    <w:rsid w:val="00636E95"/>
    <w:pPr>
      <w:spacing w:before="0" w:after="0" w:line="276" w:lineRule="auto"/>
      <w:ind w:left="5103" w:right="-567"/>
      <w:jc w:val="left"/>
    </w:pPr>
    <w:rPr>
      <w:rFonts w:ascii="Calibri" w:eastAsia="Calibri" w:hAnsi="Calibri"/>
      <w:sz w:val="22"/>
      <w:szCs w:val="22"/>
    </w:rPr>
  </w:style>
  <w:style w:type="character" w:customStyle="1" w:styleId="DateChar">
    <w:name w:val="Date Char"/>
    <w:basedOn w:val="DefaultParagraphFont"/>
    <w:link w:val="Date"/>
    <w:rsid w:val="00636E95"/>
    <w:rPr>
      <w:rFonts w:ascii="Calibri" w:eastAsia="Calibri" w:hAnsi="Calibri" w:cs="Times New Roman"/>
    </w:rPr>
  </w:style>
  <w:style w:type="paragraph" w:customStyle="1" w:styleId="References">
    <w:name w:val="References"/>
    <w:basedOn w:val="Normal"/>
    <w:next w:val="AddressTR"/>
    <w:rsid w:val="00636E95"/>
    <w:pPr>
      <w:spacing w:before="0" w:after="200" w:line="276" w:lineRule="auto"/>
      <w:ind w:left="5103"/>
      <w:jc w:val="left"/>
    </w:pPr>
    <w:rPr>
      <w:rFonts w:ascii="Calibri" w:eastAsia="Calibri" w:hAnsi="Calibri"/>
      <w:sz w:val="20"/>
      <w:szCs w:val="22"/>
    </w:rPr>
  </w:style>
  <w:style w:type="paragraph" w:customStyle="1" w:styleId="DoubSign">
    <w:name w:val="DoubSign"/>
    <w:basedOn w:val="Normal"/>
    <w:next w:val="Enclosures"/>
    <w:rsid w:val="00636E95"/>
    <w:pPr>
      <w:tabs>
        <w:tab w:val="left" w:pos="5103"/>
      </w:tabs>
      <w:spacing w:before="1200" w:after="0" w:line="276" w:lineRule="auto"/>
      <w:jc w:val="left"/>
    </w:pPr>
    <w:rPr>
      <w:rFonts w:ascii="Calibri" w:eastAsia="Calibri" w:hAnsi="Calibri"/>
      <w:sz w:val="22"/>
      <w:szCs w:val="22"/>
    </w:rPr>
  </w:style>
  <w:style w:type="paragraph" w:styleId="EnvelopeAddress">
    <w:name w:val="envelope address"/>
    <w:basedOn w:val="Normal"/>
    <w:rsid w:val="00636E95"/>
    <w:pPr>
      <w:framePr w:w="7920" w:h="1980" w:hRule="exact" w:hSpace="180" w:wrap="auto" w:hAnchor="page" w:xAlign="center" w:yAlign="bottom"/>
      <w:spacing w:before="0" w:after="0" w:line="276" w:lineRule="auto"/>
      <w:jc w:val="left"/>
    </w:pPr>
    <w:rPr>
      <w:rFonts w:eastAsia="Calibri"/>
      <w:sz w:val="22"/>
      <w:szCs w:val="22"/>
    </w:rPr>
  </w:style>
  <w:style w:type="paragraph" w:styleId="EnvelopeReturn">
    <w:name w:val="envelope return"/>
    <w:basedOn w:val="Normal"/>
    <w:rsid w:val="00636E95"/>
    <w:pPr>
      <w:spacing w:before="0" w:after="0" w:line="276" w:lineRule="auto"/>
      <w:jc w:val="left"/>
    </w:pPr>
    <w:rPr>
      <w:rFonts w:eastAsia="Calibri"/>
      <w:sz w:val="20"/>
      <w:szCs w:val="22"/>
    </w:rPr>
  </w:style>
  <w:style w:type="paragraph" w:styleId="Index1">
    <w:name w:val="index 1"/>
    <w:basedOn w:val="Normal"/>
    <w:next w:val="Normal"/>
    <w:autoRedefine/>
    <w:rsid w:val="00636E95"/>
    <w:pPr>
      <w:spacing w:before="0" w:after="200" w:line="276" w:lineRule="auto"/>
      <w:ind w:left="240" w:hanging="240"/>
      <w:jc w:val="left"/>
    </w:pPr>
    <w:rPr>
      <w:rFonts w:ascii="Calibri" w:eastAsia="Calibri" w:hAnsi="Calibri"/>
      <w:sz w:val="22"/>
      <w:szCs w:val="22"/>
    </w:rPr>
  </w:style>
  <w:style w:type="paragraph" w:styleId="Index2">
    <w:name w:val="index 2"/>
    <w:basedOn w:val="Normal"/>
    <w:next w:val="Normal"/>
    <w:autoRedefine/>
    <w:rsid w:val="00636E95"/>
    <w:pPr>
      <w:spacing w:before="0" w:after="200" w:line="276" w:lineRule="auto"/>
      <w:ind w:left="480" w:hanging="240"/>
      <w:jc w:val="left"/>
    </w:pPr>
    <w:rPr>
      <w:rFonts w:ascii="Calibri" w:eastAsia="Calibri" w:hAnsi="Calibri"/>
      <w:sz w:val="22"/>
      <w:szCs w:val="22"/>
    </w:rPr>
  </w:style>
  <w:style w:type="paragraph" w:styleId="Index3">
    <w:name w:val="index 3"/>
    <w:basedOn w:val="Normal"/>
    <w:next w:val="Normal"/>
    <w:autoRedefine/>
    <w:rsid w:val="00636E95"/>
    <w:pPr>
      <w:spacing w:before="0" w:after="200" w:line="276" w:lineRule="auto"/>
      <w:ind w:left="720" w:hanging="240"/>
      <w:jc w:val="left"/>
    </w:pPr>
    <w:rPr>
      <w:rFonts w:ascii="Calibri" w:eastAsia="Calibri" w:hAnsi="Calibri"/>
      <w:sz w:val="22"/>
      <w:szCs w:val="22"/>
    </w:rPr>
  </w:style>
  <w:style w:type="paragraph" w:styleId="Index4">
    <w:name w:val="index 4"/>
    <w:basedOn w:val="Normal"/>
    <w:next w:val="Normal"/>
    <w:autoRedefine/>
    <w:rsid w:val="00636E95"/>
    <w:pPr>
      <w:spacing w:before="0" w:after="200" w:line="276" w:lineRule="auto"/>
      <w:ind w:left="960" w:hanging="240"/>
      <w:jc w:val="left"/>
    </w:pPr>
    <w:rPr>
      <w:rFonts w:ascii="Calibri" w:eastAsia="Calibri" w:hAnsi="Calibri"/>
      <w:sz w:val="22"/>
      <w:szCs w:val="22"/>
    </w:rPr>
  </w:style>
  <w:style w:type="paragraph" w:styleId="Index5">
    <w:name w:val="index 5"/>
    <w:basedOn w:val="Normal"/>
    <w:next w:val="Normal"/>
    <w:autoRedefine/>
    <w:rsid w:val="00636E95"/>
    <w:pPr>
      <w:spacing w:before="0" w:after="200" w:line="276" w:lineRule="auto"/>
      <w:ind w:left="1200" w:hanging="240"/>
      <w:jc w:val="left"/>
    </w:pPr>
    <w:rPr>
      <w:rFonts w:ascii="Calibri" w:eastAsia="Calibri" w:hAnsi="Calibri"/>
      <w:sz w:val="22"/>
      <w:szCs w:val="22"/>
    </w:rPr>
  </w:style>
  <w:style w:type="paragraph" w:styleId="Index6">
    <w:name w:val="index 6"/>
    <w:basedOn w:val="Normal"/>
    <w:next w:val="Normal"/>
    <w:autoRedefine/>
    <w:rsid w:val="00636E95"/>
    <w:pPr>
      <w:spacing w:before="0" w:after="200" w:line="276" w:lineRule="auto"/>
      <w:ind w:left="1440" w:hanging="240"/>
      <w:jc w:val="left"/>
    </w:pPr>
    <w:rPr>
      <w:rFonts w:ascii="Calibri" w:eastAsia="Calibri" w:hAnsi="Calibri"/>
      <w:sz w:val="22"/>
      <w:szCs w:val="22"/>
    </w:rPr>
  </w:style>
  <w:style w:type="paragraph" w:styleId="Index7">
    <w:name w:val="index 7"/>
    <w:basedOn w:val="Normal"/>
    <w:next w:val="Normal"/>
    <w:autoRedefine/>
    <w:rsid w:val="00636E95"/>
    <w:pPr>
      <w:spacing w:before="0" w:after="200" w:line="276" w:lineRule="auto"/>
      <w:ind w:left="1680" w:hanging="240"/>
      <w:jc w:val="left"/>
    </w:pPr>
    <w:rPr>
      <w:rFonts w:ascii="Calibri" w:eastAsia="Calibri" w:hAnsi="Calibri"/>
      <w:sz w:val="22"/>
      <w:szCs w:val="22"/>
    </w:rPr>
  </w:style>
  <w:style w:type="paragraph" w:styleId="Index8">
    <w:name w:val="index 8"/>
    <w:basedOn w:val="Normal"/>
    <w:next w:val="Normal"/>
    <w:autoRedefine/>
    <w:rsid w:val="00636E95"/>
    <w:pPr>
      <w:spacing w:before="0" w:after="200" w:line="276" w:lineRule="auto"/>
      <w:ind w:left="1920" w:hanging="240"/>
      <w:jc w:val="left"/>
    </w:pPr>
    <w:rPr>
      <w:rFonts w:ascii="Calibri" w:eastAsia="Calibri" w:hAnsi="Calibri"/>
      <w:sz w:val="22"/>
      <w:szCs w:val="22"/>
    </w:rPr>
  </w:style>
  <w:style w:type="paragraph" w:styleId="Index9">
    <w:name w:val="index 9"/>
    <w:basedOn w:val="Normal"/>
    <w:next w:val="Normal"/>
    <w:autoRedefine/>
    <w:rsid w:val="00636E95"/>
    <w:pPr>
      <w:spacing w:before="0" w:after="200" w:line="276" w:lineRule="auto"/>
      <w:ind w:left="2160" w:hanging="240"/>
      <w:jc w:val="left"/>
    </w:pPr>
    <w:rPr>
      <w:rFonts w:ascii="Calibri" w:eastAsia="Calibri" w:hAnsi="Calibri"/>
      <w:sz w:val="22"/>
      <w:szCs w:val="22"/>
    </w:rPr>
  </w:style>
  <w:style w:type="paragraph" w:styleId="IndexHeading">
    <w:name w:val="index heading"/>
    <w:basedOn w:val="Normal"/>
    <w:next w:val="Index1"/>
    <w:rsid w:val="00636E95"/>
    <w:pPr>
      <w:spacing w:before="0" w:after="200" w:line="276" w:lineRule="auto"/>
      <w:jc w:val="left"/>
    </w:pPr>
    <w:rPr>
      <w:rFonts w:ascii="Arial" w:eastAsia="Calibri" w:hAnsi="Arial"/>
      <w:b/>
      <w:sz w:val="22"/>
      <w:szCs w:val="22"/>
    </w:rPr>
  </w:style>
  <w:style w:type="paragraph" w:styleId="List">
    <w:name w:val="List"/>
    <w:basedOn w:val="Normal"/>
    <w:rsid w:val="00636E95"/>
    <w:pPr>
      <w:spacing w:before="0" w:after="200" w:line="276" w:lineRule="auto"/>
      <w:ind w:left="283" w:hanging="283"/>
      <w:jc w:val="left"/>
    </w:pPr>
    <w:rPr>
      <w:rFonts w:ascii="Calibri" w:eastAsia="Calibri" w:hAnsi="Calibri"/>
      <w:sz w:val="22"/>
      <w:szCs w:val="22"/>
    </w:rPr>
  </w:style>
  <w:style w:type="paragraph" w:styleId="List2">
    <w:name w:val="List 2"/>
    <w:basedOn w:val="Normal"/>
    <w:rsid w:val="00636E95"/>
    <w:pPr>
      <w:spacing w:before="0" w:after="200" w:line="276" w:lineRule="auto"/>
      <w:ind w:left="566" w:hanging="283"/>
      <w:jc w:val="left"/>
    </w:pPr>
    <w:rPr>
      <w:rFonts w:ascii="Calibri" w:eastAsia="Calibri" w:hAnsi="Calibri"/>
      <w:sz w:val="22"/>
      <w:szCs w:val="22"/>
    </w:rPr>
  </w:style>
  <w:style w:type="paragraph" w:styleId="List3">
    <w:name w:val="List 3"/>
    <w:basedOn w:val="Normal"/>
    <w:rsid w:val="00636E95"/>
    <w:pPr>
      <w:spacing w:before="0" w:after="200" w:line="276" w:lineRule="auto"/>
      <w:ind w:left="849" w:hanging="283"/>
      <w:jc w:val="left"/>
    </w:pPr>
    <w:rPr>
      <w:rFonts w:ascii="Calibri" w:eastAsia="Calibri" w:hAnsi="Calibri"/>
      <w:sz w:val="22"/>
      <w:szCs w:val="22"/>
    </w:rPr>
  </w:style>
  <w:style w:type="paragraph" w:styleId="List4">
    <w:name w:val="List 4"/>
    <w:basedOn w:val="Normal"/>
    <w:rsid w:val="00636E95"/>
    <w:pPr>
      <w:spacing w:before="0" w:after="200" w:line="276" w:lineRule="auto"/>
      <w:ind w:left="1132" w:hanging="283"/>
      <w:jc w:val="left"/>
    </w:pPr>
    <w:rPr>
      <w:rFonts w:ascii="Calibri" w:eastAsia="Calibri" w:hAnsi="Calibri"/>
      <w:sz w:val="22"/>
      <w:szCs w:val="22"/>
    </w:rPr>
  </w:style>
  <w:style w:type="paragraph" w:styleId="List5">
    <w:name w:val="List 5"/>
    <w:basedOn w:val="Normal"/>
    <w:rsid w:val="00636E95"/>
    <w:pPr>
      <w:spacing w:before="0" w:after="200" w:line="276" w:lineRule="auto"/>
      <w:ind w:left="1415" w:hanging="283"/>
      <w:jc w:val="left"/>
    </w:pPr>
    <w:rPr>
      <w:rFonts w:ascii="Calibri" w:eastAsia="Calibri" w:hAnsi="Calibri"/>
      <w:sz w:val="22"/>
      <w:szCs w:val="22"/>
    </w:rPr>
  </w:style>
  <w:style w:type="paragraph" w:styleId="ListBullet5">
    <w:name w:val="List Bullet 5"/>
    <w:basedOn w:val="Normal"/>
    <w:autoRedefine/>
    <w:rsid w:val="00636E95"/>
    <w:pPr>
      <w:numPr>
        <w:numId w:val="23"/>
      </w:numPr>
      <w:spacing w:before="0" w:after="200" w:line="276" w:lineRule="auto"/>
      <w:jc w:val="left"/>
    </w:pPr>
    <w:rPr>
      <w:rFonts w:ascii="Calibri" w:eastAsia="Calibri" w:hAnsi="Calibri"/>
      <w:sz w:val="22"/>
      <w:szCs w:val="22"/>
    </w:rPr>
  </w:style>
  <w:style w:type="paragraph" w:styleId="ListContinue">
    <w:name w:val="List Continue"/>
    <w:basedOn w:val="Normal"/>
    <w:rsid w:val="00636E95"/>
    <w:pPr>
      <w:spacing w:before="0" w:line="276" w:lineRule="auto"/>
      <w:ind w:left="283"/>
      <w:jc w:val="left"/>
    </w:pPr>
    <w:rPr>
      <w:rFonts w:ascii="Calibri" w:eastAsia="Calibri" w:hAnsi="Calibri"/>
      <w:sz w:val="22"/>
      <w:szCs w:val="22"/>
    </w:rPr>
  </w:style>
  <w:style w:type="paragraph" w:styleId="ListContinue2">
    <w:name w:val="List Continue 2"/>
    <w:basedOn w:val="Normal"/>
    <w:rsid w:val="00636E95"/>
    <w:pPr>
      <w:spacing w:before="0" w:line="276" w:lineRule="auto"/>
      <w:ind w:left="566"/>
      <w:jc w:val="left"/>
    </w:pPr>
    <w:rPr>
      <w:rFonts w:ascii="Calibri" w:eastAsia="Calibri" w:hAnsi="Calibri"/>
      <w:sz w:val="22"/>
      <w:szCs w:val="22"/>
    </w:rPr>
  </w:style>
  <w:style w:type="paragraph" w:styleId="ListContinue3">
    <w:name w:val="List Continue 3"/>
    <w:basedOn w:val="Normal"/>
    <w:rsid w:val="00636E95"/>
    <w:pPr>
      <w:spacing w:before="0" w:line="276" w:lineRule="auto"/>
      <w:ind w:left="849"/>
      <w:jc w:val="left"/>
    </w:pPr>
    <w:rPr>
      <w:rFonts w:ascii="Calibri" w:eastAsia="Calibri" w:hAnsi="Calibri"/>
      <w:sz w:val="22"/>
      <w:szCs w:val="22"/>
    </w:rPr>
  </w:style>
  <w:style w:type="paragraph" w:styleId="ListContinue4">
    <w:name w:val="List Continue 4"/>
    <w:basedOn w:val="Normal"/>
    <w:rsid w:val="00636E95"/>
    <w:pPr>
      <w:spacing w:before="0" w:line="276" w:lineRule="auto"/>
      <w:ind w:left="1132"/>
      <w:jc w:val="left"/>
    </w:pPr>
    <w:rPr>
      <w:rFonts w:ascii="Calibri" w:eastAsia="Calibri" w:hAnsi="Calibri"/>
      <w:sz w:val="22"/>
      <w:szCs w:val="22"/>
    </w:rPr>
  </w:style>
  <w:style w:type="paragraph" w:styleId="ListContinue5">
    <w:name w:val="List Continue 5"/>
    <w:basedOn w:val="Normal"/>
    <w:rsid w:val="00636E95"/>
    <w:pPr>
      <w:spacing w:before="0" w:line="276" w:lineRule="auto"/>
      <w:ind w:left="1415"/>
      <w:jc w:val="left"/>
    </w:pPr>
    <w:rPr>
      <w:rFonts w:ascii="Calibri" w:eastAsia="Calibri" w:hAnsi="Calibri"/>
      <w:sz w:val="22"/>
      <w:szCs w:val="22"/>
    </w:rPr>
  </w:style>
  <w:style w:type="paragraph" w:styleId="ListNumber5">
    <w:name w:val="List Number 5"/>
    <w:basedOn w:val="Normal"/>
    <w:rsid w:val="00636E95"/>
    <w:pPr>
      <w:numPr>
        <w:numId w:val="24"/>
      </w:numPr>
      <w:spacing w:before="0" w:after="200" w:line="276" w:lineRule="auto"/>
      <w:jc w:val="left"/>
    </w:pPr>
    <w:rPr>
      <w:rFonts w:ascii="Calibri" w:eastAsia="Calibri" w:hAnsi="Calibri"/>
      <w:sz w:val="22"/>
      <w:szCs w:val="22"/>
    </w:rPr>
  </w:style>
  <w:style w:type="paragraph" w:styleId="MacroText">
    <w:name w:val="macro"/>
    <w:link w:val="MacroTextChar"/>
    <w:rsid w:val="00636E95"/>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sid w:val="00636E95"/>
    <w:rPr>
      <w:rFonts w:ascii="Courier New" w:eastAsia="Times New Roman" w:hAnsi="Courier New" w:cs="Times New Roman"/>
      <w:sz w:val="20"/>
      <w:szCs w:val="20"/>
    </w:rPr>
  </w:style>
  <w:style w:type="paragraph" w:styleId="MessageHeader">
    <w:name w:val="Message Header"/>
    <w:basedOn w:val="Normal"/>
    <w:link w:val="MessageHeaderChar"/>
    <w:rsid w:val="00636E95"/>
    <w:pPr>
      <w:pBdr>
        <w:top w:val="single" w:sz="6" w:space="1" w:color="auto"/>
        <w:left w:val="single" w:sz="6" w:space="1" w:color="auto"/>
        <w:bottom w:val="single" w:sz="6" w:space="1" w:color="auto"/>
        <w:right w:val="single" w:sz="6" w:space="1" w:color="auto"/>
      </w:pBdr>
      <w:shd w:val="pct20" w:color="auto" w:fill="auto"/>
      <w:spacing w:before="0" w:after="200" w:line="276" w:lineRule="auto"/>
      <w:ind w:left="1134" w:hanging="1134"/>
      <w:jc w:val="left"/>
    </w:pPr>
    <w:rPr>
      <w:rFonts w:ascii="Arial" w:eastAsia="Calibri" w:hAnsi="Arial"/>
      <w:sz w:val="22"/>
      <w:szCs w:val="22"/>
    </w:rPr>
  </w:style>
  <w:style w:type="character" w:customStyle="1" w:styleId="MessageHeaderChar">
    <w:name w:val="Message Header Char"/>
    <w:basedOn w:val="DefaultParagraphFont"/>
    <w:link w:val="MessageHeader"/>
    <w:rsid w:val="00636E95"/>
    <w:rPr>
      <w:rFonts w:ascii="Arial" w:eastAsia="Calibri" w:hAnsi="Arial" w:cs="Times New Roman"/>
      <w:shd w:val="pct20" w:color="auto" w:fill="auto"/>
    </w:rPr>
  </w:style>
  <w:style w:type="paragraph" w:styleId="NormalIndent">
    <w:name w:val="Normal Indent"/>
    <w:basedOn w:val="Normal"/>
    <w:rsid w:val="00636E95"/>
    <w:pPr>
      <w:spacing w:before="0" w:after="200" w:line="276" w:lineRule="auto"/>
      <w:ind w:left="720"/>
      <w:jc w:val="left"/>
    </w:pPr>
    <w:rPr>
      <w:rFonts w:ascii="Calibri" w:eastAsia="Calibri" w:hAnsi="Calibri"/>
      <w:sz w:val="22"/>
      <w:szCs w:val="22"/>
    </w:rPr>
  </w:style>
  <w:style w:type="paragraph" w:styleId="NoteHeading">
    <w:name w:val="Note Heading"/>
    <w:basedOn w:val="Normal"/>
    <w:next w:val="Normal"/>
    <w:link w:val="NoteHeadingChar"/>
    <w:rsid w:val="00636E95"/>
    <w:pPr>
      <w:spacing w:before="0" w:after="200" w:line="276" w:lineRule="auto"/>
      <w:jc w:val="left"/>
    </w:pPr>
    <w:rPr>
      <w:rFonts w:ascii="Calibri" w:eastAsia="Calibri" w:hAnsi="Calibri"/>
      <w:sz w:val="22"/>
      <w:szCs w:val="22"/>
    </w:rPr>
  </w:style>
  <w:style w:type="character" w:customStyle="1" w:styleId="NoteHeadingChar">
    <w:name w:val="Note Heading Char"/>
    <w:basedOn w:val="DefaultParagraphFont"/>
    <w:link w:val="NoteHeading"/>
    <w:rsid w:val="00636E95"/>
    <w:rPr>
      <w:rFonts w:ascii="Calibri" w:eastAsia="Calibri" w:hAnsi="Calibri" w:cs="Times New Roman"/>
    </w:rPr>
  </w:style>
  <w:style w:type="paragraph" w:customStyle="1" w:styleId="NoteHead">
    <w:name w:val="NoteHead"/>
    <w:basedOn w:val="Normal"/>
    <w:next w:val="Subject"/>
    <w:rsid w:val="00636E95"/>
    <w:pPr>
      <w:spacing w:before="720" w:after="720" w:line="276" w:lineRule="auto"/>
      <w:jc w:val="center"/>
    </w:pPr>
    <w:rPr>
      <w:rFonts w:ascii="Calibri" w:eastAsia="Calibri" w:hAnsi="Calibri"/>
      <w:b/>
      <w:smallCaps/>
      <w:sz w:val="22"/>
      <w:szCs w:val="22"/>
    </w:rPr>
  </w:style>
  <w:style w:type="paragraph" w:customStyle="1" w:styleId="Subject">
    <w:name w:val="Subject"/>
    <w:basedOn w:val="Normal"/>
    <w:next w:val="Normal"/>
    <w:rsid w:val="00636E95"/>
    <w:pPr>
      <w:spacing w:before="0" w:after="480" w:line="276" w:lineRule="auto"/>
      <w:ind w:left="1531" w:hanging="1531"/>
      <w:jc w:val="left"/>
    </w:pPr>
    <w:rPr>
      <w:rFonts w:ascii="Calibri" w:eastAsia="Calibri" w:hAnsi="Calibri"/>
      <w:b/>
      <w:sz w:val="22"/>
      <w:szCs w:val="22"/>
    </w:rPr>
  </w:style>
  <w:style w:type="paragraph" w:customStyle="1" w:styleId="NoteList">
    <w:name w:val="NoteList"/>
    <w:basedOn w:val="Normal"/>
    <w:next w:val="Subject"/>
    <w:rsid w:val="00636E95"/>
    <w:pPr>
      <w:tabs>
        <w:tab w:val="left" w:pos="5823"/>
      </w:tabs>
      <w:spacing w:before="720" w:after="720" w:line="276" w:lineRule="auto"/>
      <w:ind w:left="5104" w:hanging="3119"/>
      <w:jc w:val="left"/>
    </w:pPr>
    <w:rPr>
      <w:rFonts w:ascii="Calibri" w:eastAsia="Calibri" w:hAnsi="Calibri"/>
      <w:b/>
      <w:smallCaps/>
      <w:sz w:val="22"/>
      <w:szCs w:val="22"/>
    </w:rPr>
  </w:style>
  <w:style w:type="paragraph" w:styleId="PlainText">
    <w:name w:val="Plain Text"/>
    <w:basedOn w:val="Normal"/>
    <w:link w:val="PlainTextChar"/>
    <w:rsid w:val="00636E95"/>
    <w:pPr>
      <w:spacing w:before="0" w:after="200" w:line="276" w:lineRule="auto"/>
      <w:jc w:val="left"/>
    </w:pPr>
    <w:rPr>
      <w:rFonts w:ascii="Calibri" w:eastAsia="Calibri" w:hAnsi="Calibri"/>
      <w:sz w:val="20"/>
      <w:szCs w:val="22"/>
    </w:rPr>
  </w:style>
  <w:style w:type="character" w:customStyle="1" w:styleId="PlainTextChar">
    <w:name w:val="Plain Text Char"/>
    <w:basedOn w:val="DefaultParagraphFont"/>
    <w:link w:val="PlainText"/>
    <w:rsid w:val="00636E95"/>
    <w:rPr>
      <w:rFonts w:ascii="Calibri" w:eastAsia="Calibri" w:hAnsi="Calibri" w:cs="Times New Roman"/>
      <w:sz w:val="20"/>
    </w:rPr>
  </w:style>
  <w:style w:type="paragraph" w:styleId="Salutation">
    <w:name w:val="Salutation"/>
    <w:basedOn w:val="Normal"/>
    <w:next w:val="Normal"/>
    <w:link w:val="SalutationChar"/>
    <w:rsid w:val="00636E95"/>
    <w:pPr>
      <w:spacing w:before="0" w:after="200" w:line="276" w:lineRule="auto"/>
      <w:jc w:val="left"/>
    </w:pPr>
    <w:rPr>
      <w:rFonts w:ascii="Calibri" w:eastAsia="Calibri" w:hAnsi="Calibri"/>
      <w:sz w:val="22"/>
      <w:szCs w:val="22"/>
    </w:rPr>
  </w:style>
  <w:style w:type="character" w:customStyle="1" w:styleId="SalutationChar">
    <w:name w:val="Salutation Char"/>
    <w:basedOn w:val="DefaultParagraphFont"/>
    <w:link w:val="Salutation"/>
    <w:rsid w:val="00636E95"/>
    <w:rPr>
      <w:rFonts w:ascii="Calibri" w:eastAsia="Calibri" w:hAnsi="Calibri" w:cs="Times New Roman"/>
    </w:rPr>
  </w:style>
  <w:style w:type="paragraph" w:styleId="Subtitle">
    <w:name w:val="Subtitle"/>
    <w:basedOn w:val="Normal"/>
    <w:link w:val="SubtitleChar"/>
    <w:qFormat/>
    <w:rsid w:val="00636E95"/>
    <w:pPr>
      <w:spacing w:before="0" w:after="60" w:line="276" w:lineRule="auto"/>
      <w:jc w:val="center"/>
      <w:outlineLvl w:val="1"/>
    </w:pPr>
    <w:rPr>
      <w:rFonts w:ascii="Arial" w:eastAsia="Calibri" w:hAnsi="Arial"/>
      <w:sz w:val="22"/>
      <w:szCs w:val="22"/>
    </w:rPr>
  </w:style>
  <w:style w:type="character" w:customStyle="1" w:styleId="SubtitleChar">
    <w:name w:val="Subtitle Char"/>
    <w:basedOn w:val="DefaultParagraphFont"/>
    <w:link w:val="Subtitle"/>
    <w:rsid w:val="00636E95"/>
    <w:rPr>
      <w:rFonts w:ascii="Arial" w:eastAsia="Calibri" w:hAnsi="Arial" w:cs="Times New Roman"/>
    </w:rPr>
  </w:style>
  <w:style w:type="paragraph" w:styleId="TableofAuthorities">
    <w:name w:val="table of authorities"/>
    <w:basedOn w:val="Normal"/>
    <w:next w:val="Normal"/>
    <w:rsid w:val="00636E95"/>
    <w:pPr>
      <w:spacing w:before="0" w:after="200" w:line="276" w:lineRule="auto"/>
      <w:ind w:left="240" w:hanging="240"/>
      <w:jc w:val="left"/>
    </w:pPr>
    <w:rPr>
      <w:rFonts w:ascii="Calibri" w:eastAsia="Calibri" w:hAnsi="Calibri"/>
      <w:sz w:val="22"/>
      <w:szCs w:val="22"/>
    </w:rPr>
  </w:style>
  <w:style w:type="paragraph" w:styleId="Title">
    <w:name w:val="Title"/>
    <w:basedOn w:val="Normal"/>
    <w:link w:val="TitleChar"/>
    <w:qFormat/>
    <w:rsid w:val="00636E95"/>
    <w:pPr>
      <w:spacing w:before="240" w:after="60" w:line="276" w:lineRule="auto"/>
      <w:jc w:val="center"/>
      <w:outlineLvl w:val="0"/>
    </w:pPr>
    <w:rPr>
      <w:rFonts w:ascii="Arial" w:eastAsia="Calibri" w:hAnsi="Arial"/>
      <w:b/>
      <w:kern w:val="28"/>
      <w:sz w:val="32"/>
      <w:szCs w:val="22"/>
    </w:rPr>
  </w:style>
  <w:style w:type="character" w:customStyle="1" w:styleId="TitleChar">
    <w:name w:val="Title Char"/>
    <w:basedOn w:val="DefaultParagraphFont"/>
    <w:link w:val="Title"/>
    <w:rsid w:val="00636E95"/>
    <w:rPr>
      <w:rFonts w:ascii="Arial" w:eastAsia="Calibri" w:hAnsi="Arial" w:cs="Times New Roman"/>
      <w:b/>
      <w:kern w:val="28"/>
      <w:sz w:val="32"/>
    </w:rPr>
  </w:style>
  <w:style w:type="paragraph" w:styleId="TOAHeading">
    <w:name w:val="toa heading"/>
    <w:basedOn w:val="Normal"/>
    <w:next w:val="Normal"/>
    <w:rsid w:val="00636E95"/>
    <w:pPr>
      <w:spacing w:after="200" w:line="276" w:lineRule="auto"/>
      <w:jc w:val="left"/>
    </w:pPr>
    <w:rPr>
      <w:rFonts w:ascii="Arial" w:eastAsia="Calibri" w:hAnsi="Arial"/>
      <w:b/>
      <w:sz w:val="22"/>
      <w:szCs w:val="22"/>
    </w:rPr>
  </w:style>
  <w:style w:type="paragraph" w:customStyle="1" w:styleId="YReferences">
    <w:name w:val="YReferences"/>
    <w:basedOn w:val="Normal"/>
    <w:next w:val="Normal"/>
    <w:rsid w:val="00636E95"/>
    <w:pPr>
      <w:spacing w:before="0" w:after="480" w:line="276" w:lineRule="auto"/>
      <w:ind w:left="1531" w:hanging="1531"/>
      <w:jc w:val="left"/>
    </w:pPr>
    <w:rPr>
      <w:rFonts w:ascii="Calibri" w:eastAsia="Calibri" w:hAnsi="Calibri"/>
      <w:sz w:val="22"/>
      <w:szCs w:val="22"/>
    </w:rPr>
  </w:style>
  <w:style w:type="paragraph" w:customStyle="1" w:styleId="ListBullet1">
    <w:name w:val="List Bullet 1"/>
    <w:basedOn w:val="Text1"/>
    <w:rsid w:val="00636E95"/>
    <w:pPr>
      <w:numPr>
        <w:numId w:val="25"/>
      </w:numPr>
      <w:spacing w:before="0" w:after="200" w:line="276" w:lineRule="auto"/>
      <w:jc w:val="left"/>
    </w:pPr>
    <w:rPr>
      <w:rFonts w:ascii="Calibri" w:eastAsia="Calibri" w:hAnsi="Calibri"/>
      <w:sz w:val="22"/>
      <w:szCs w:val="22"/>
    </w:rPr>
  </w:style>
  <w:style w:type="paragraph" w:customStyle="1" w:styleId="ListDash">
    <w:name w:val="List Dash"/>
    <w:basedOn w:val="Normal"/>
    <w:rsid w:val="00636E95"/>
    <w:pPr>
      <w:numPr>
        <w:numId w:val="26"/>
      </w:numPr>
      <w:spacing w:before="0" w:after="200" w:line="276" w:lineRule="auto"/>
      <w:jc w:val="left"/>
    </w:pPr>
    <w:rPr>
      <w:rFonts w:ascii="Calibri" w:eastAsia="Calibri" w:hAnsi="Calibri"/>
      <w:sz w:val="22"/>
      <w:szCs w:val="22"/>
    </w:rPr>
  </w:style>
  <w:style w:type="paragraph" w:customStyle="1" w:styleId="ListDash2">
    <w:name w:val="List Dash 2"/>
    <w:basedOn w:val="Text2"/>
    <w:rsid w:val="00636E95"/>
    <w:pPr>
      <w:numPr>
        <w:numId w:val="27"/>
      </w:numPr>
      <w:spacing w:before="0" w:after="200" w:line="276" w:lineRule="auto"/>
      <w:jc w:val="left"/>
    </w:pPr>
    <w:rPr>
      <w:rFonts w:ascii="Calibri" w:eastAsia="Calibri" w:hAnsi="Calibri"/>
      <w:sz w:val="22"/>
      <w:szCs w:val="22"/>
    </w:rPr>
  </w:style>
  <w:style w:type="paragraph" w:customStyle="1" w:styleId="ListDash4">
    <w:name w:val="List Dash 4"/>
    <w:basedOn w:val="Text4"/>
    <w:rsid w:val="00636E95"/>
    <w:pPr>
      <w:numPr>
        <w:numId w:val="28"/>
      </w:numPr>
      <w:spacing w:before="0" w:after="200" w:line="276" w:lineRule="auto"/>
      <w:jc w:val="left"/>
    </w:pPr>
    <w:rPr>
      <w:rFonts w:ascii="Calibri" w:eastAsia="Calibri" w:hAnsi="Calibri"/>
      <w:sz w:val="22"/>
      <w:szCs w:val="22"/>
    </w:rPr>
  </w:style>
  <w:style w:type="paragraph" w:customStyle="1" w:styleId="ListNumberLevel2">
    <w:name w:val="List Number (Level 2)"/>
    <w:basedOn w:val="Normal"/>
    <w:rsid w:val="00636E95"/>
    <w:pPr>
      <w:tabs>
        <w:tab w:val="num" w:pos="1417"/>
      </w:tabs>
      <w:spacing w:before="0" w:after="200" w:line="276" w:lineRule="auto"/>
      <w:ind w:left="1417" w:hanging="708"/>
      <w:jc w:val="left"/>
    </w:pPr>
    <w:rPr>
      <w:rFonts w:ascii="Calibri" w:eastAsia="Calibri" w:hAnsi="Calibri"/>
      <w:sz w:val="22"/>
      <w:szCs w:val="22"/>
    </w:rPr>
  </w:style>
  <w:style w:type="paragraph" w:customStyle="1" w:styleId="ListNumberLevel3">
    <w:name w:val="List Number (Level 3)"/>
    <w:basedOn w:val="Normal"/>
    <w:rsid w:val="00636E95"/>
    <w:pPr>
      <w:tabs>
        <w:tab w:val="num" w:pos="2126"/>
      </w:tabs>
      <w:spacing w:before="0" w:after="200" w:line="276" w:lineRule="auto"/>
      <w:ind w:left="2126" w:hanging="709"/>
      <w:jc w:val="left"/>
    </w:pPr>
    <w:rPr>
      <w:rFonts w:ascii="Calibri" w:eastAsia="Calibri" w:hAnsi="Calibri"/>
      <w:sz w:val="22"/>
      <w:szCs w:val="22"/>
    </w:rPr>
  </w:style>
  <w:style w:type="paragraph" w:customStyle="1" w:styleId="ListNumberLevel4">
    <w:name w:val="List Number (Level 4)"/>
    <w:basedOn w:val="Normal"/>
    <w:rsid w:val="00636E95"/>
    <w:pPr>
      <w:tabs>
        <w:tab w:val="num" w:pos="2835"/>
      </w:tabs>
      <w:spacing w:before="0" w:after="200" w:line="276" w:lineRule="auto"/>
      <w:ind w:left="2835" w:hanging="709"/>
      <w:jc w:val="left"/>
    </w:pPr>
    <w:rPr>
      <w:rFonts w:ascii="Calibri" w:eastAsia="Calibri" w:hAnsi="Calibri"/>
      <w:sz w:val="22"/>
      <w:szCs w:val="22"/>
    </w:rPr>
  </w:style>
  <w:style w:type="paragraph" w:customStyle="1" w:styleId="ListNumber2Level2">
    <w:name w:val="List Number 2 (Level 2)"/>
    <w:basedOn w:val="Text2"/>
    <w:rsid w:val="00636E95"/>
    <w:pPr>
      <w:tabs>
        <w:tab w:val="num" w:pos="2494"/>
      </w:tabs>
      <w:spacing w:before="0" w:after="200" w:line="276" w:lineRule="auto"/>
      <w:ind w:left="2494" w:hanging="708"/>
      <w:jc w:val="left"/>
    </w:pPr>
    <w:rPr>
      <w:rFonts w:ascii="Calibri" w:eastAsia="Calibri" w:hAnsi="Calibri"/>
      <w:sz w:val="22"/>
      <w:szCs w:val="22"/>
    </w:rPr>
  </w:style>
  <w:style w:type="paragraph" w:customStyle="1" w:styleId="ListNumber2Level3">
    <w:name w:val="List Number 2 (Level 3)"/>
    <w:basedOn w:val="Text2"/>
    <w:rsid w:val="00636E95"/>
    <w:pPr>
      <w:tabs>
        <w:tab w:val="num" w:pos="3203"/>
      </w:tabs>
      <w:spacing w:before="0" w:after="200" w:line="276" w:lineRule="auto"/>
      <w:ind w:left="3203" w:hanging="709"/>
      <w:jc w:val="left"/>
    </w:pPr>
    <w:rPr>
      <w:rFonts w:ascii="Calibri" w:eastAsia="Calibri" w:hAnsi="Calibri"/>
      <w:sz w:val="22"/>
      <w:szCs w:val="22"/>
    </w:rPr>
  </w:style>
  <w:style w:type="paragraph" w:customStyle="1" w:styleId="ListNumber2Level4">
    <w:name w:val="List Number 2 (Level 4)"/>
    <w:basedOn w:val="Text2"/>
    <w:rsid w:val="00636E95"/>
    <w:pPr>
      <w:tabs>
        <w:tab w:val="num" w:pos="3912"/>
      </w:tabs>
      <w:spacing w:before="0" w:after="200" w:line="276" w:lineRule="auto"/>
      <w:ind w:left="3912" w:hanging="709"/>
      <w:jc w:val="left"/>
    </w:pPr>
    <w:rPr>
      <w:rFonts w:ascii="Calibri" w:eastAsia="Calibri" w:hAnsi="Calibri"/>
      <w:sz w:val="22"/>
      <w:szCs w:val="22"/>
    </w:rPr>
  </w:style>
  <w:style w:type="paragraph" w:customStyle="1" w:styleId="ListNumber3Level2">
    <w:name w:val="List Number 3 (Level 2)"/>
    <w:basedOn w:val="Text3"/>
    <w:rsid w:val="00636E95"/>
    <w:pPr>
      <w:tabs>
        <w:tab w:val="num" w:pos="3333"/>
      </w:tabs>
      <w:spacing w:before="0" w:after="200" w:line="276" w:lineRule="auto"/>
      <w:ind w:left="3333" w:hanging="708"/>
      <w:jc w:val="left"/>
    </w:pPr>
    <w:rPr>
      <w:rFonts w:ascii="Calibri" w:eastAsia="Calibri" w:hAnsi="Calibri"/>
      <w:sz w:val="22"/>
      <w:szCs w:val="22"/>
    </w:rPr>
  </w:style>
  <w:style w:type="paragraph" w:customStyle="1" w:styleId="ListNumber3Level3">
    <w:name w:val="List Number 3 (Level 3)"/>
    <w:basedOn w:val="Text3"/>
    <w:rsid w:val="00636E95"/>
    <w:pPr>
      <w:tabs>
        <w:tab w:val="num" w:pos="4042"/>
      </w:tabs>
      <w:spacing w:before="0" w:after="200" w:line="276" w:lineRule="auto"/>
      <w:ind w:left="4042" w:hanging="709"/>
      <w:jc w:val="left"/>
    </w:pPr>
    <w:rPr>
      <w:rFonts w:ascii="Calibri" w:eastAsia="Calibri" w:hAnsi="Calibri"/>
      <w:sz w:val="22"/>
      <w:szCs w:val="22"/>
    </w:rPr>
  </w:style>
  <w:style w:type="paragraph" w:customStyle="1" w:styleId="ListNumber3Level4">
    <w:name w:val="List Number 3 (Level 4)"/>
    <w:basedOn w:val="Text3"/>
    <w:rsid w:val="00636E95"/>
    <w:pPr>
      <w:tabs>
        <w:tab w:val="num" w:pos="4751"/>
      </w:tabs>
      <w:spacing w:before="0" w:after="200" w:line="276" w:lineRule="auto"/>
      <w:ind w:left="4751" w:hanging="709"/>
      <w:jc w:val="left"/>
    </w:pPr>
    <w:rPr>
      <w:rFonts w:ascii="Calibri" w:eastAsia="Calibri" w:hAnsi="Calibri"/>
      <w:sz w:val="22"/>
      <w:szCs w:val="22"/>
    </w:rPr>
  </w:style>
  <w:style w:type="paragraph" w:customStyle="1" w:styleId="ListNumber4Level2">
    <w:name w:val="List Number 4 (Level 2)"/>
    <w:basedOn w:val="Text4"/>
    <w:rsid w:val="00636E95"/>
    <w:pPr>
      <w:tabs>
        <w:tab w:val="num" w:pos="4297"/>
      </w:tabs>
      <w:spacing w:before="0" w:after="200" w:line="276" w:lineRule="auto"/>
      <w:ind w:left="4297" w:hanging="708"/>
      <w:jc w:val="left"/>
    </w:pPr>
    <w:rPr>
      <w:rFonts w:ascii="Calibri" w:eastAsia="Calibri" w:hAnsi="Calibri"/>
      <w:sz w:val="22"/>
      <w:szCs w:val="22"/>
    </w:rPr>
  </w:style>
  <w:style w:type="paragraph" w:customStyle="1" w:styleId="ListNumber4Level3">
    <w:name w:val="List Number 4 (Level 3)"/>
    <w:basedOn w:val="Text4"/>
    <w:rsid w:val="00636E95"/>
    <w:pPr>
      <w:tabs>
        <w:tab w:val="num" w:pos="5006"/>
      </w:tabs>
      <w:spacing w:before="0" w:after="200" w:line="276" w:lineRule="auto"/>
      <w:ind w:left="5006" w:hanging="709"/>
      <w:jc w:val="left"/>
    </w:pPr>
    <w:rPr>
      <w:rFonts w:ascii="Calibri" w:eastAsia="Calibri" w:hAnsi="Calibri"/>
      <w:sz w:val="22"/>
      <w:szCs w:val="22"/>
    </w:rPr>
  </w:style>
  <w:style w:type="paragraph" w:customStyle="1" w:styleId="ListNumber4Level4">
    <w:name w:val="List Number 4 (Level 4)"/>
    <w:basedOn w:val="Text4"/>
    <w:rsid w:val="00636E95"/>
    <w:pPr>
      <w:tabs>
        <w:tab w:val="num" w:pos="5715"/>
      </w:tabs>
      <w:spacing w:before="0" w:after="200" w:line="276" w:lineRule="auto"/>
      <w:ind w:left="5715" w:hanging="709"/>
      <w:jc w:val="left"/>
    </w:pPr>
    <w:rPr>
      <w:rFonts w:ascii="Calibri" w:eastAsia="Calibri" w:hAnsi="Calibri"/>
      <w:sz w:val="22"/>
      <w:szCs w:val="22"/>
    </w:rPr>
  </w:style>
  <w:style w:type="paragraph" w:customStyle="1" w:styleId="LegalNumPar">
    <w:name w:val="LegalNumPar"/>
    <w:basedOn w:val="Normal"/>
    <w:rsid w:val="00636E95"/>
    <w:pPr>
      <w:numPr>
        <w:numId w:val="29"/>
      </w:numPr>
      <w:spacing w:before="0" w:after="200" w:line="276" w:lineRule="auto"/>
      <w:jc w:val="left"/>
    </w:pPr>
    <w:rPr>
      <w:rFonts w:ascii="Calibri" w:eastAsia="Calibri" w:hAnsi="Calibri"/>
      <w:sz w:val="22"/>
      <w:szCs w:val="22"/>
    </w:rPr>
  </w:style>
  <w:style w:type="character" w:customStyle="1" w:styleId="st">
    <w:name w:val="st"/>
    <w:rsid w:val="00636E95"/>
  </w:style>
  <w:style w:type="numbering" w:customStyle="1" w:styleId="NoList3">
    <w:name w:val="No List3"/>
    <w:next w:val="NoList"/>
    <w:uiPriority w:val="99"/>
    <w:semiHidden/>
    <w:unhideWhenUsed/>
    <w:rsid w:val="00636E95"/>
  </w:style>
  <w:style w:type="numbering" w:customStyle="1" w:styleId="NoList4">
    <w:name w:val="No List4"/>
    <w:next w:val="NoList"/>
    <w:uiPriority w:val="99"/>
    <w:semiHidden/>
    <w:unhideWhenUsed/>
    <w:rsid w:val="00636E95"/>
  </w:style>
  <w:style w:type="character" w:customStyle="1" w:styleId="tgc">
    <w:name w:val="_tgc"/>
    <w:rsid w:val="00636E95"/>
  </w:style>
  <w:style w:type="character" w:customStyle="1" w:styleId="long">
    <w:name w:val="long"/>
    <w:rsid w:val="00FF5341"/>
  </w:style>
  <w:style w:type="numbering" w:customStyle="1" w:styleId="NoList5">
    <w:name w:val="No List5"/>
    <w:next w:val="NoList"/>
    <w:uiPriority w:val="99"/>
    <w:semiHidden/>
    <w:unhideWhenUsed/>
    <w:rsid w:val="004F52E0"/>
  </w:style>
  <w:style w:type="table" w:customStyle="1" w:styleId="TableGrid2">
    <w:name w:val="Table Grid2"/>
    <w:basedOn w:val="TableNormal"/>
    <w:next w:val="TableGrid"/>
    <w:uiPriority w:val="59"/>
    <w:rsid w:val="004F52E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F52E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F52E0"/>
  </w:style>
  <w:style w:type="numbering" w:customStyle="1" w:styleId="NoList21">
    <w:name w:val="No List21"/>
    <w:next w:val="NoList"/>
    <w:uiPriority w:val="99"/>
    <w:semiHidden/>
    <w:unhideWhenUsed/>
    <w:rsid w:val="004F52E0"/>
  </w:style>
  <w:style w:type="numbering" w:customStyle="1" w:styleId="NoList31">
    <w:name w:val="No List31"/>
    <w:next w:val="NoList"/>
    <w:uiPriority w:val="99"/>
    <w:semiHidden/>
    <w:unhideWhenUsed/>
    <w:rsid w:val="004F52E0"/>
  </w:style>
  <w:style w:type="numbering" w:customStyle="1" w:styleId="NoList41">
    <w:name w:val="No List41"/>
    <w:next w:val="NoList"/>
    <w:uiPriority w:val="99"/>
    <w:semiHidden/>
    <w:unhideWhenUsed/>
    <w:rsid w:val="004F52E0"/>
  </w:style>
  <w:style w:type="paragraph" w:customStyle="1" w:styleId="ListParagraph2">
    <w:name w:val="List Paragraph 2"/>
    <w:basedOn w:val="Normal"/>
    <w:rsid w:val="004F52E0"/>
    <w:pPr>
      <w:keepNext/>
      <w:keepLines/>
      <w:ind w:left="357" w:hanging="357"/>
    </w:pPr>
    <w:rPr>
      <w:b/>
      <w:i/>
      <w:szCs w:val="22"/>
    </w:rPr>
  </w:style>
  <w:style w:type="paragraph" w:customStyle="1" w:styleId="Declassification">
    <w:name w:val="Declassification"/>
    <w:basedOn w:val="Normal"/>
    <w:next w:val="Normal"/>
    <w:rsid w:val="00356C1D"/>
    <w:pPr>
      <w:spacing w:before="0" w:after="0"/>
    </w:pPr>
    <w:rPr>
      <w:rFonts w:eastAsiaTheme="minorHAnsi"/>
      <w:szCs w:val="22"/>
    </w:rPr>
  </w:style>
  <w:style w:type="paragraph" w:customStyle="1" w:styleId="HeaderSensitivity">
    <w:name w:val="Header Sensitivity"/>
    <w:basedOn w:val="Normal"/>
    <w:rsid w:val="00356C1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56C1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c.europa.eu/taxation_customs/customs/customs_duties/tariff_aspects/suspensions/index_en.htm"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c.europa.eu/taxation_customs/customs/customs_duties/tariff_aspects/combined_nomenclature/index_en.htm"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ec.europa.eu/taxation_customs/customs/customs_duties/tariff_aspects/quotas/index_en.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B2CDABC7926AA4DB9F7387A1CD2DF92" ma:contentTypeVersion="1" ma:contentTypeDescription="Create a new document in this library." ma:contentTypeScope="" ma:versionID="144a5b6daa52a4afdb3ef934bdf63073">
  <xsd:schema xmlns:xsd="http://www.w3.org/2001/XMLSchema" xmlns:xs="http://www.w3.org/2001/XMLSchema" xmlns:p="http://schemas.microsoft.com/office/2006/metadata/properties" xmlns:ns3="89c67eeb-4ea6-428d-993c-e176f5b3603e" targetNamespace="http://schemas.microsoft.com/office/2006/metadata/properties" ma:root="true" ma:fieldsID="24a9cc0d673381a964205bb70f7b2f2c" ns3:_="">
    <xsd:import namespace="89c67eeb-4ea6-428d-993c-e176f5b3603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67eeb-4ea6-428d-993c-e176f5b360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9c67eeb-4ea6-428d-993c-e176f5b3603e" xsi:nil="true"/>
    <EC_Collab_DocumentLanguage xmlns="89c67eeb-4ea6-428d-993c-e176f5b3603e">EN</EC_Collab_DocumentLanguage>
    <EC_Collab_Status xmlns="89c67eeb-4ea6-428d-993c-e176f5b3603e">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E8C2-FFAF-4D0A-99C3-76465BDCF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67eeb-4ea6-428d-993c-e176f5b36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5E87F-0081-4D54-8C2C-1C3759C4C781}">
  <ds:schemaRefs>
    <ds:schemaRef ds:uri="http://schemas.microsoft.com/office/2006/metadata/properties"/>
    <ds:schemaRef ds:uri="http://schemas.microsoft.com/office/infopath/2007/PartnerControls"/>
    <ds:schemaRef ds:uri="89c67eeb-4ea6-428d-993c-e176f5b3603e"/>
  </ds:schemaRefs>
</ds:datastoreItem>
</file>

<file path=customXml/itemProps3.xml><?xml version="1.0" encoding="utf-8"?>
<ds:datastoreItem xmlns:ds="http://schemas.openxmlformats.org/officeDocument/2006/customXml" ds:itemID="{077170DA-F3D8-468C-9167-5B852AB89F47}">
  <ds:schemaRefs>
    <ds:schemaRef ds:uri="http://schemas.microsoft.com/sharepoint/v3/contenttype/forms"/>
  </ds:schemaRefs>
</ds:datastoreItem>
</file>

<file path=customXml/itemProps4.xml><?xml version="1.0" encoding="utf-8"?>
<ds:datastoreItem xmlns:ds="http://schemas.openxmlformats.org/officeDocument/2006/customXml" ds:itemID="{EA2152BA-BAC8-435B-A750-45D47EED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15125</Words>
  <Characters>86216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VOGLAIRE Vincent (TAXUD)</dc:creator>
  <cp:lastModifiedBy>Nataša Dojčinović-Trtić</cp:lastModifiedBy>
  <cp:revision>2</cp:revision>
  <cp:lastPrinted>2017-12-07T17:54:00Z</cp:lastPrinted>
  <dcterms:created xsi:type="dcterms:W3CDTF">2018-02-07T07:19:00Z</dcterms:created>
  <dcterms:modified xsi:type="dcterms:W3CDTF">2018-02-07T07:19:00Z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Red</vt:lpwstr>
  </property>
  <property fmtid="{D5CDD505-2E9C-101B-9397-08002B2CF9AE}" pid="7" name="Level of sensitivity">
    <vt:lpwstr>Standard treatment</vt:lpwstr>
  </property>
  <property fmtid="{D5CDD505-2E9C-101B-9397-08002B2CF9AE}" pid="8" name="ContentTypeId">
    <vt:lpwstr>0x010100258AA79CEB83498886A3A08681123250001B2CDABC7926AA4DB9F7387A1CD2DF92</vt:lpwstr>
  </property>
</Properties>
</file>